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F2" w:rsidRPr="00613D82" w:rsidRDefault="00AC76F2" w:rsidP="00AC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3D82">
        <w:rPr>
          <w:rFonts w:ascii="Times New Roman" w:hAnsi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AC76F2" w:rsidRPr="000766DB" w:rsidRDefault="00AC76F2" w:rsidP="00AC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76F2" w:rsidRPr="00367DC0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7DC0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>
        <w:rPr>
          <w:rFonts w:ascii="Times New Roman" w:hAnsi="Times New Roman"/>
          <w:sz w:val="30"/>
          <w:szCs w:val="30"/>
        </w:rPr>
        <w:t>а. Никого не удивляет активное использование методов манипулирования общественным мнением</w:t>
      </w:r>
      <w:r w:rsidRPr="00367DC0">
        <w:rPr>
          <w:rFonts w:ascii="Times New Roman" w:hAnsi="Times New Roman"/>
          <w:sz w:val="30"/>
          <w:szCs w:val="30"/>
        </w:rPr>
        <w:t xml:space="preserve">. Распространяется практика целенаправленного информационного давления, наносящего существенный ущерб национальным интересам. </w:t>
      </w:r>
      <w:r w:rsidRPr="00367DC0">
        <w:rPr>
          <w:rFonts w:ascii="Times New Roman" w:hAnsi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>
        <w:rPr>
          <w:rFonts w:ascii="Times New Roman" w:hAnsi="Times New Roman"/>
          <w:iCs/>
          <w:sz w:val="30"/>
          <w:szCs w:val="30"/>
        </w:rPr>
        <w:t>занимают</w:t>
      </w:r>
      <w:r w:rsidRPr="00367DC0">
        <w:rPr>
          <w:rFonts w:ascii="Times New Roman" w:hAnsi="Times New Roman"/>
          <w:iCs/>
          <w:sz w:val="30"/>
          <w:szCs w:val="30"/>
        </w:rPr>
        <w:t xml:space="preserve"> ключевое место в мировой конкуренции. Информационное преимущество выступает важнейшей силой, способствующей перераспределению экономических, социальных и политических ресурсов</w:t>
      </w: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Глава государства </w:t>
      </w:r>
      <w:proofErr w:type="spell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: ”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Наши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 ценности не вписываются в систему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глобалистского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/>
          <w:color w:val="000000"/>
          <w:sz w:val="30"/>
          <w:szCs w:val="30"/>
        </w:rPr>
        <w:t>“.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AC76F2" w:rsidRDefault="00AC76F2" w:rsidP="00AC76F2">
      <w:pPr>
        <w:spacing w:after="0" w:line="240" w:lineRule="auto"/>
        <w:ind w:firstLine="709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1.  Информационное противоборство в XXI веке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 информационно-психологических баталиях можно вести речь, начиная с середины </w:t>
      </w:r>
      <w:r>
        <w:rPr>
          <w:rFonts w:ascii="Times New Roman" w:eastAsia="Times New Roman" w:hAnsi="Times New Roman"/>
          <w:color w:val="000000"/>
          <w:sz w:val="30"/>
          <w:szCs w:val="30"/>
          <w:lang w:val="en-US"/>
        </w:rPr>
        <w:t>XX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века, когда в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условиях ”холодной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медийном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радикально изменилась с началом цифровой революции (рубеж 80-х – 90-х годов </w:t>
      </w:r>
      <w:r w:rsidRPr="00F07A62">
        <w:rPr>
          <w:rFonts w:ascii="Times New Roman" w:eastAsia="Times New Roman" w:hAnsi="Times New Roman"/>
          <w:color w:val="000000"/>
          <w:sz w:val="30"/>
          <w:szCs w:val="30"/>
        </w:rPr>
        <w:t>прошлого века</w:t>
      </w:r>
      <w:r>
        <w:rPr>
          <w:rFonts w:ascii="Times New Roman" w:eastAsia="Times New Roman" w:hAnsi="Times New Roman"/>
          <w:color w:val="000000"/>
          <w:sz w:val="30"/>
          <w:szCs w:val="30"/>
        </w:rPr>
        <w:t>), когда информационно-</w:t>
      </w: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коммуникационные технологии (далее – ИКТ) практически стерли государственные границы. 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пользователей ”Всемирной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компании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(информационная война). 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Информационная война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 – заявил Президент Республики Беларусь </w:t>
      </w:r>
      <w:proofErr w:type="spell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группах </w:t>
      </w:r>
      <w:r>
        <w:rPr>
          <w:rFonts w:ascii="Times New Roman" w:eastAsia="Times New Roman" w:hAnsi="Times New Roman"/>
          <w:sz w:val="30"/>
          <w:szCs w:val="30"/>
        </w:rPr>
        <w:lastRenderedPageBreak/>
        <w:t>”компьютерных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/>
          <w:b/>
          <w:sz w:val="30"/>
          <w:szCs w:val="30"/>
        </w:rPr>
        <w:t>10,5 трлн. долл. США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AC76F2" w:rsidRDefault="00AC76F2" w:rsidP="00AC76F2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2. Технологии </w:t>
      </w:r>
      <w:r w:rsidRPr="005E7FC7">
        <w:rPr>
          <w:rFonts w:ascii="Times New Roman" w:eastAsia="Times New Roman" w:hAnsi="Times New Roman"/>
          <w:b/>
          <w:sz w:val="30"/>
          <w:szCs w:val="30"/>
        </w:rPr>
        <w:t>манипуляции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общественным мнением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образом, снижается значимость объективных фактов (т.н.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/>
          <w:b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/>
          <w:sz w:val="30"/>
          <w:szCs w:val="30"/>
        </w:rPr>
        <w:t xml:space="preserve">государства, семьи, армии, церкви.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/>
          <w:b/>
          <w:i/>
          <w:sz w:val="30"/>
          <w:szCs w:val="30"/>
        </w:rPr>
        <w:t>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/>
          <w:sz w:val="30"/>
          <w:szCs w:val="30"/>
        </w:rPr>
        <w:t xml:space="preserve">, – отметил Глава государства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стран СНГ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долл. США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“.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целенаправленно работать с небольшими социальными группами с применением политических технологий. 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/>
          <w:sz w:val="30"/>
          <w:szCs w:val="30"/>
        </w:rPr>
        <w:t xml:space="preserve"> и выдачи информации из сети Интернет.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деструктивную информацию 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Таким образом,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фальсификации истории </w:t>
      </w:r>
      <w:proofErr w:type="gram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и ”войн</w:t>
      </w:r>
      <w:proofErr w:type="gramEnd"/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памяти“ </w:t>
      </w:r>
      <w:r>
        <w:rPr>
          <w:rFonts w:ascii="Times New Roman" w:eastAsia="Times New Roman" w:hAnsi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AC76F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AC76F2" w:rsidRPr="004E19FE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lastRenderedPageBreak/>
        <w:t>3</w:t>
      </w:r>
      <w:r w:rsidRPr="004E19FE">
        <w:rPr>
          <w:rFonts w:ascii="Times New Roman" w:eastAsia="Times New Roman" w:hAnsi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/>
          <w:b/>
          <w:sz w:val="30"/>
          <w:szCs w:val="30"/>
        </w:rPr>
        <w:t xml:space="preserve">безопасности в </w:t>
      </w:r>
      <w:r>
        <w:rPr>
          <w:rFonts w:ascii="Times New Roman" w:eastAsia="Times New Roman" w:hAnsi="Times New Roman"/>
          <w:b/>
          <w:sz w:val="30"/>
          <w:szCs w:val="30"/>
        </w:rPr>
        <w:t>Республике Беларусь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:rsidR="00AC76F2" w:rsidRPr="00173952" w:rsidRDefault="00AC76F2" w:rsidP="00AC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17395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На 1 ноября </w:t>
      </w:r>
      <w:r w:rsidRPr="008B6A74">
        <w:rPr>
          <w:rFonts w:ascii="Times New Roman" w:eastAsia="Times New Roman" w:hAnsi="Times New Roman"/>
          <w:i/>
          <w:color w:val="000000"/>
          <w:sz w:val="28"/>
          <w:szCs w:val="28"/>
        </w:rPr>
        <w:t>2022</w:t>
      </w:r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 г. в </w:t>
      </w:r>
      <w:proofErr w:type="spellStart"/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телерадиовещательных СМИ (116 государственных и 79 негосударственных); 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8672D"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:rsidR="00AC76F2" w:rsidRPr="00D66D5B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D66D5B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/>
          <w:bCs/>
          <w:i/>
          <w:sz w:val="28"/>
          <w:szCs w:val="28"/>
        </w:rPr>
        <w:t>.</w:t>
      </w:r>
    </w:p>
    <w:p w:rsidR="00AC76F2" w:rsidRPr="006A1C6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A1C62">
        <w:rPr>
          <w:rFonts w:ascii="Times New Roman" w:eastAsia="Times New Roman" w:hAnsi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51597">
        <w:rPr>
          <w:rFonts w:ascii="Times New Roman" w:eastAsia="Times New Roman" w:hAnsi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/>
          <w:sz w:val="30"/>
          <w:szCs w:val="30"/>
        </w:rPr>
        <w:t>1 от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1A1525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1A1525">
        <w:rPr>
          <w:rFonts w:ascii="Times New Roman" w:eastAsia="Times New Roman" w:hAnsi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AC76F2" w:rsidRPr="00A6780E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43CF">
        <w:rPr>
          <w:rFonts w:ascii="Times New Roman" w:hAnsi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/>
          <w:sz w:val="30"/>
          <w:szCs w:val="30"/>
        </w:rPr>
        <w:t>2021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3143CF">
        <w:rPr>
          <w:rFonts w:ascii="Times New Roman" w:hAnsi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/>
          <w:sz w:val="30"/>
          <w:szCs w:val="30"/>
        </w:rPr>
        <w:t xml:space="preserve">направлены на </w:t>
      </w:r>
      <w:r w:rsidRPr="00B64817">
        <w:rPr>
          <w:rFonts w:ascii="Times New Roman" w:hAnsi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/>
          <w:sz w:val="30"/>
          <w:szCs w:val="30"/>
        </w:rPr>
        <w:t xml:space="preserve">. Данные нововведения </w:t>
      </w:r>
      <w:r w:rsidRPr="003143CF">
        <w:rPr>
          <w:rFonts w:ascii="Times New Roman" w:hAnsi="Times New Roman"/>
          <w:sz w:val="30"/>
          <w:szCs w:val="30"/>
        </w:rPr>
        <w:lastRenderedPageBreak/>
        <w:t xml:space="preserve">успешно работают и позволяют оперативно реагировать </w:t>
      </w:r>
      <w:proofErr w:type="gramStart"/>
      <w:r w:rsidRPr="003143CF">
        <w:rPr>
          <w:rFonts w:ascii="Times New Roman" w:hAnsi="Times New Roman"/>
          <w:sz w:val="30"/>
          <w:szCs w:val="30"/>
        </w:rPr>
        <w:t>на различного рода</w:t>
      </w:r>
      <w:proofErr w:type="gramEnd"/>
      <w:r w:rsidRPr="003143C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143CF">
        <w:rPr>
          <w:rFonts w:ascii="Times New Roman" w:hAnsi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C76F2" w:rsidRPr="00065B23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65B2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65B23">
        <w:rPr>
          <w:rFonts w:ascii="Times New Roman" w:hAnsi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интернет-ресур</w:t>
      </w:r>
      <w:r>
        <w:rPr>
          <w:rFonts w:ascii="Times New Roman" w:hAnsi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их составным частям, в том числе з</w:t>
      </w:r>
      <w:r w:rsidRPr="00065B23">
        <w:rPr>
          <w:rFonts w:ascii="Times New Roman" w:hAnsi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/>
          <w:i/>
          <w:sz w:val="28"/>
          <w:szCs w:val="28"/>
        </w:rPr>
        <w:t>: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065B23">
        <w:rPr>
          <w:rFonts w:ascii="Times New Roman" w:hAnsi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/>
          <w:i/>
          <w:sz w:val="28"/>
          <w:szCs w:val="28"/>
        </w:rPr>
        <w:t xml:space="preserve"> включено 684 материала на основании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B23">
        <w:rPr>
          <w:rFonts w:ascii="Times New Roman" w:hAnsi="Times New Roman"/>
          <w:i/>
          <w:sz w:val="28"/>
          <w:szCs w:val="28"/>
        </w:rPr>
        <w:t xml:space="preserve">420 решений судов.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МВД</w:t>
      </w:r>
      <w:r w:rsidRPr="00171A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проводится</w:t>
      </w:r>
      <w:r w:rsidRPr="00171A40">
        <w:rPr>
          <w:rFonts w:ascii="Times New Roman" w:hAnsi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:rsidR="00AC76F2" w:rsidRDefault="00AC76F2" w:rsidP="00AC76F2">
      <w:pPr>
        <w:spacing w:after="0" w:line="240" w:lineRule="auto"/>
        <w:ind w:firstLine="709"/>
        <w:jc w:val="both"/>
      </w:pPr>
      <w:proofErr w:type="spellStart"/>
      <w:r w:rsidRPr="00C347C7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C347C7">
        <w:rPr>
          <w:rFonts w:ascii="Times New Roman" w:hAnsi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/>
          <w:i/>
          <w:sz w:val="28"/>
          <w:szCs w:val="28"/>
        </w:rPr>
        <w:t> </w:t>
      </w:r>
      <w:r w:rsidRPr="00C347C7">
        <w:rPr>
          <w:rFonts w:ascii="Times New Roman" w:hAnsi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/>
          <w:i/>
          <w:sz w:val="28"/>
          <w:szCs w:val="28"/>
        </w:rPr>
        <w:t>ми</w:t>
      </w:r>
      <w:r w:rsidRPr="00C347C7">
        <w:rPr>
          <w:rFonts w:ascii="Times New Roman" w:hAnsi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/>
          <w:i/>
          <w:sz w:val="28"/>
          <w:szCs w:val="28"/>
        </w:rPr>
        <w:t>ями</w:t>
      </w:r>
      <w:r w:rsidRPr="00C347C7">
        <w:rPr>
          <w:rFonts w:ascii="Times New Roman" w:hAnsi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/>
          <w:b/>
          <w:i/>
          <w:sz w:val="28"/>
          <w:szCs w:val="28"/>
        </w:rPr>
        <w:t xml:space="preserve">более 300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/>
          <w:i/>
          <w:sz w:val="28"/>
          <w:szCs w:val="28"/>
        </w:rPr>
        <w:t xml:space="preserve">. При этом полностью прекращена деятельность </w:t>
      </w:r>
      <w:r w:rsidRPr="00C347C7">
        <w:rPr>
          <w:rFonts w:ascii="Times New Roman" w:hAnsi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/>
          <w:i/>
          <w:sz w:val="28"/>
          <w:szCs w:val="28"/>
        </w:rPr>
        <w:t>.</w:t>
      </w:r>
      <w:r w:rsidRPr="00C347C7">
        <w:t xml:space="preserve"> </w:t>
      </w:r>
    </w:p>
    <w:p w:rsidR="00AC76F2" w:rsidRPr="00C347C7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CE70D7">
        <w:rPr>
          <w:rFonts w:ascii="Times New Roman" w:hAnsi="Times New Roman"/>
          <w:i/>
          <w:sz w:val="28"/>
          <w:szCs w:val="28"/>
        </w:rPr>
        <w:t xml:space="preserve"> 2021</w:t>
      </w:r>
      <w:r>
        <w:rPr>
          <w:rFonts w:ascii="Times New Roman" w:hAnsi="Times New Roman"/>
          <w:i/>
          <w:sz w:val="28"/>
          <w:szCs w:val="28"/>
        </w:rPr>
        <w:t>–</w:t>
      </w:r>
      <w:r w:rsidRPr="00CE70D7">
        <w:rPr>
          <w:rFonts w:ascii="Times New Roman" w:hAnsi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/>
          <w:b/>
          <w:i/>
          <w:sz w:val="28"/>
          <w:szCs w:val="28"/>
        </w:rPr>
        <w:t xml:space="preserve">продукция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8C3">
        <w:rPr>
          <w:rFonts w:ascii="Times New Roman" w:hAnsi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/>
          <w:sz w:val="30"/>
          <w:szCs w:val="30"/>
        </w:rPr>
        <w:t>идеологическ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>, информационн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>, нормотворческ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 xml:space="preserve"> и </w:t>
      </w:r>
      <w:r w:rsidRPr="00E64F96">
        <w:rPr>
          <w:rFonts w:ascii="Times New Roman" w:hAnsi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/>
          <w:sz w:val="30"/>
          <w:szCs w:val="30"/>
        </w:rPr>
        <w:t>с осени 2021 г</w:t>
      </w:r>
      <w:r>
        <w:rPr>
          <w:rFonts w:ascii="Times New Roman" w:hAnsi="Times New Roman"/>
          <w:sz w:val="30"/>
          <w:szCs w:val="30"/>
        </w:rPr>
        <w:t>.</w:t>
      </w:r>
      <w:r w:rsidRPr="004648C3">
        <w:rPr>
          <w:rFonts w:ascii="Times New Roman" w:hAnsi="Times New Roman"/>
          <w:sz w:val="30"/>
          <w:szCs w:val="30"/>
        </w:rPr>
        <w:t xml:space="preserve"> по настоящее время зафиксировано </w:t>
      </w:r>
      <w:r w:rsidRPr="00372C60">
        <w:rPr>
          <w:rFonts w:ascii="Times New Roman" w:hAnsi="Times New Roman"/>
          <w:b/>
          <w:sz w:val="30"/>
          <w:szCs w:val="30"/>
        </w:rPr>
        <w:t>более 500 тыс</w:t>
      </w:r>
      <w:r>
        <w:rPr>
          <w:rFonts w:ascii="Times New Roman" w:hAnsi="Times New Roman"/>
          <w:b/>
          <w:sz w:val="30"/>
          <w:szCs w:val="30"/>
        </w:rPr>
        <w:t>.</w:t>
      </w:r>
      <w:r w:rsidRPr="00372C60">
        <w:rPr>
          <w:rFonts w:ascii="Times New Roman" w:hAnsi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/>
          <w:sz w:val="30"/>
          <w:szCs w:val="30"/>
        </w:rPr>
        <w:t xml:space="preserve"> </w:t>
      </w:r>
      <w:r w:rsidRPr="00372C60">
        <w:rPr>
          <w:rFonts w:ascii="Times New Roman" w:hAnsi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/>
          <w:i/>
          <w:sz w:val="28"/>
          <w:szCs w:val="28"/>
        </w:rPr>
        <w:t>тыс.</w:t>
      </w:r>
      <w:r w:rsidRPr="00372C60">
        <w:rPr>
          <w:rFonts w:ascii="Times New Roman" w:hAnsi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/>
          <w:sz w:val="30"/>
          <w:szCs w:val="30"/>
        </w:rPr>
        <w:t>, специализировавшихся на белорусской повестке.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23">
        <w:rPr>
          <w:rFonts w:ascii="Times New Roman" w:hAnsi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041C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D2B6A">
        <w:rPr>
          <w:rFonts w:ascii="Times New Roman" w:hAnsi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 деструктивной информации.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:rsidR="00AC76F2" w:rsidRPr="002041CC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i/>
          <w:sz w:val="28"/>
          <w:szCs w:val="28"/>
        </w:rPr>
        <w:lastRenderedPageBreak/>
        <w:t xml:space="preserve">На телеканале «СТВ» опровержение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и др. Активно работают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БелТА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>, «СБ. Беларусь сегодня», «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», другие центральные издания.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F96">
        <w:rPr>
          <w:rFonts w:ascii="Times New Roman" w:hAnsi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/>
          <w:sz w:val="30"/>
          <w:szCs w:val="30"/>
        </w:rPr>
        <w:t>» и др.</w:t>
      </w:r>
    </w:p>
    <w:p w:rsidR="00AC76F2" w:rsidRPr="00936B4B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4</w:t>
      </w:r>
      <w:r w:rsidRPr="004E19FE">
        <w:rPr>
          <w:rFonts w:ascii="Times New Roman" w:eastAsia="Times New Roman" w:hAnsi="Times New Roman"/>
          <w:b/>
          <w:sz w:val="30"/>
          <w:szCs w:val="30"/>
        </w:rPr>
        <w:t>. 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киберпреступности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AC76F2" w:rsidRPr="004E19FE" w:rsidRDefault="00AC76F2" w:rsidP="00AC76F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Республике Беларусь</w:t>
      </w:r>
    </w:p>
    <w:p w:rsidR="00AC76F2" w:rsidRDefault="00AC76F2" w:rsidP="00AC76F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bidi="ru-RU"/>
        </w:rPr>
      </w:pPr>
    </w:p>
    <w:p w:rsidR="00AC76F2" w:rsidRPr="00936B4B" w:rsidRDefault="00AC76F2" w:rsidP="00AC76F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и др. </w:t>
      </w:r>
    </w:p>
    <w:p w:rsidR="00AC76F2" w:rsidRPr="00C25474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AC76F2" w:rsidRPr="00AA7DF5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proofErr w:type="spellStart"/>
      <w:r w:rsidRPr="00AA7DF5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Справочно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. </w:t>
      </w:r>
      <w:r w:rsidRPr="00AA7DF5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AC76F2" w:rsidRPr="00CE33E2" w:rsidRDefault="00AC76F2" w:rsidP="00AC76F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/>
          <w:color w:val="000000"/>
          <w:sz w:val="30"/>
          <w:szCs w:val="30"/>
        </w:rPr>
        <w:t>январ</w:t>
      </w:r>
      <w:r>
        <w:rPr>
          <w:rFonts w:ascii="Times New Roman" w:hAnsi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/>
          <w:color w:val="000000"/>
          <w:sz w:val="30"/>
          <w:szCs w:val="30"/>
        </w:rPr>
        <w:t>с 13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 xml:space="preserve">за исключением </w:t>
      </w:r>
      <w:proofErr w:type="spellStart"/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>г.Минска</w:t>
      </w:r>
      <w:proofErr w:type="spellEnd"/>
      <w:r w:rsidRPr="00CB53FC">
        <w:rPr>
          <w:rFonts w:ascii="Times New Roman" w:hAnsi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/>
          <w:color w:val="000000"/>
          <w:sz w:val="30"/>
          <w:szCs w:val="30"/>
        </w:rPr>
        <w:t>.</w:t>
      </w:r>
    </w:p>
    <w:p w:rsidR="00AC76F2" w:rsidRPr="00645629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33E2">
        <w:rPr>
          <w:rFonts w:ascii="Times New Roman" w:hAnsi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 области (+47,2%; с 36 до 53).</w:t>
      </w:r>
    </w:p>
    <w:p w:rsidR="00AC76F2" w:rsidRPr="00CE33E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У</w:t>
      </w:r>
      <w:r w:rsidRPr="0099193A">
        <w:rPr>
          <w:rFonts w:ascii="Times New Roman" w:hAnsi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октябре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/>
          <w:color w:val="000000"/>
          <w:sz w:val="30"/>
          <w:szCs w:val="30"/>
        </w:rPr>
        <w:t>2021 г</w:t>
      </w:r>
      <w:r>
        <w:rPr>
          <w:rFonts w:ascii="Times New Roman" w:hAnsi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AC76F2" w:rsidRPr="00645629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629">
        <w:rPr>
          <w:rFonts w:ascii="Times New Roman" w:hAnsi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4,1 млн. рублей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/>
          <w:color w:val="000000"/>
          <w:sz w:val="30"/>
          <w:szCs w:val="30"/>
        </w:rPr>
        <w:t>(в 2021 году – 741,7 тыс. рублей).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 представлений.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/>
          <w:color w:val="000000"/>
          <w:sz w:val="30"/>
          <w:szCs w:val="30"/>
        </w:rPr>
        <w:t>.</w:t>
      </w:r>
    </w:p>
    <w:p w:rsidR="00AC76F2" w:rsidRPr="0092573D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5. Национальные интересы в информационной сфере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F3313"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выступая на шестом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AC76F2" w:rsidRPr="00526033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/>
          <w:sz w:val="30"/>
          <w:szCs w:val="30"/>
        </w:rPr>
        <w:t>интересам, в том числе, относятся:</w:t>
      </w:r>
    </w:p>
    <w:p w:rsidR="00AC76F2" w:rsidRPr="00526033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/>
          <w:sz w:val="30"/>
          <w:szCs w:val="30"/>
        </w:rPr>
        <w:t>;</w:t>
      </w:r>
    </w:p>
    <w:p w:rsidR="00AC76F2" w:rsidRPr="00526033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, что обусловлено новыми положениями преамбулы и статьи 4 обновленной редакции Конституции Республики Беларусь; </w:t>
      </w:r>
    </w:p>
    <w:p w:rsidR="00AC76F2" w:rsidRPr="00526033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b/>
          <w:sz w:val="30"/>
          <w:szCs w:val="30"/>
        </w:rPr>
        <w:t>сохранение самобытности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, укрепление духовно-нравственных ценностей белорусского народа, развитие современного культурного пространства страны, защита исторической памяти;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/>
          <w:sz w:val="30"/>
          <w:szCs w:val="30"/>
        </w:rPr>
        <w:t xml:space="preserve">потенциалов. 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/>
          <w:sz w:val="30"/>
          <w:szCs w:val="30"/>
        </w:rPr>
        <w:t>: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защита общества от деструктивного информационного воздействия;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:rsidR="00AC76F2" w:rsidRDefault="00AC76F2" w:rsidP="00AC76F2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сектор экономики;</w:t>
      </w:r>
    </w:p>
    <w:p w:rsidR="00AC76F2" w:rsidRDefault="00AC76F2" w:rsidP="00AC76F2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AC76F2" w:rsidRDefault="00AC76F2" w:rsidP="00AC76F2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:rsidR="00AC76F2" w:rsidRPr="00936B4B" w:rsidRDefault="00AC76F2" w:rsidP="00AC76F2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:rsidR="00AC76F2" w:rsidRDefault="00AC76F2" w:rsidP="00AC76F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***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AC76F2" w:rsidRDefault="00AC76F2" w:rsidP="00AC7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Президент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AC76F2" w:rsidRPr="00F62329" w:rsidRDefault="00AC76F2" w:rsidP="00AC76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AC76F2" w:rsidRPr="00C47416" w:rsidRDefault="00AC76F2" w:rsidP="00AC76F2">
      <w:pPr>
        <w:pStyle w:val="2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F62329">
        <w:rPr>
          <w:bCs/>
          <w:i/>
          <w:sz w:val="30"/>
          <w:szCs w:val="30"/>
        </w:rPr>
        <w:t>на основе информации</w:t>
      </w:r>
      <w:r w:rsidRPr="00F62329">
        <w:rPr>
          <w:bCs/>
          <w:i/>
          <w:sz w:val="30"/>
          <w:szCs w:val="30"/>
        </w:rPr>
        <w:br/>
      </w:r>
      <w:r w:rsidRPr="00C47416">
        <w:rPr>
          <w:bCs/>
          <w:i/>
          <w:sz w:val="30"/>
          <w:szCs w:val="30"/>
        </w:rPr>
        <w:t>Оперативно-аналитического центра</w:t>
      </w:r>
      <w:r>
        <w:rPr>
          <w:bCs/>
          <w:i/>
          <w:sz w:val="30"/>
          <w:szCs w:val="30"/>
        </w:rPr>
        <w:t xml:space="preserve"> </w:t>
      </w:r>
      <w:r w:rsidRPr="00C47416">
        <w:rPr>
          <w:bCs/>
          <w:i/>
          <w:sz w:val="30"/>
          <w:szCs w:val="30"/>
        </w:rPr>
        <w:t xml:space="preserve">при </w:t>
      </w:r>
      <w:r>
        <w:rPr>
          <w:bCs/>
          <w:i/>
          <w:sz w:val="30"/>
          <w:szCs w:val="30"/>
        </w:rPr>
        <w:t xml:space="preserve"> </w:t>
      </w:r>
      <w:r w:rsidRPr="00C47416">
        <w:rPr>
          <w:bCs/>
          <w:i/>
          <w:sz w:val="30"/>
          <w:szCs w:val="30"/>
        </w:rPr>
        <w:t>Президенте Республики Беларусь, 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:rsidR="00AC76F2" w:rsidRDefault="00AC76F2" w:rsidP="00AC76F2">
      <w:pPr>
        <w:pStyle w:val="2"/>
        <w:jc w:val="right"/>
        <w:rPr>
          <w:b/>
          <w:sz w:val="30"/>
          <w:szCs w:val="30"/>
        </w:rPr>
      </w:pPr>
    </w:p>
    <w:p w:rsidR="004F7520" w:rsidRDefault="004F7520">
      <w:bookmarkStart w:id="0" w:name="_GoBack"/>
      <w:bookmarkEnd w:id="0"/>
    </w:p>
    <w:sectPr w:rsidR="004F7520" w:rsidSect="00AC76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2"/>
    <w:rsid w:val="004F7520"/>
    <w:rsid w:val="00A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67A4"/>
  <w15:chartTrackingRefBased/>
  <w15:docId w15:val="{97D6665E-6D14-4CB4-9846-A47D084F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76F2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76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2022-12-12T08:55:00Z</dcterms:created>
  <dcterms:modified xsi:type="dcterms:W3CDTF">2022-12-12T08:55:00Z</dcterms:modified>
</cp:coreProperties>
</file>