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9B" w:rsidRDefault="000D7D9B" w:rsidP="000D7D9B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bookmarkEnd w:id="0"/>
    <w:p w:rsidR="000D7D9B" w:rsidRPr="00162EDE" w:rsidRDefault="000D7D9B" w:rsidP="000D7D9B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  <w:proofErr w:type="gramEnd"/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0D7D9B" w:rsidRPr="00162EDE" w:rsidRDefault="000D7D9B" w:rsidP="000D7D9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0D7D9B" w:rsidRPr="00162EDE" w:rsidRDefault="000D7D9B" w:rsidP="000D7D9B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0D7D9B" w:rsidRPr="00162EDE" w:rsidRDefault="000D7D9B" w:rsidP="000D7D9B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lastRenderedPageBreak/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0D7D9B" w:rsidRPr="00162EDE" w:rsidRDefault="000D7D9B" w:rsidP="000D7D9B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</w:t>
      </w:r>
      <w:proofErr w:type="gramEnd"/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также закупок за счет собственных средств субъектами хозяйствования с долей собственности государства.</w:t>
      </w:r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:rsidR="000D7D9B" w:rsidRPr="00162EDE" w:rsidRDefault="000D7D9B" w:rsidP="000D7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0D7D9B" w:rsidRPr="00162EDE" w:rsidRDefault="000D7D9B" w:rsidP="000D7D9B">
      <w:pPr>
        <w:pStyle w:val="a3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</w:t>
      </w:r>
      <w:r w:rsidRPr="00162EDE">
        <w:rPr>
          <w:rFonts w:ascii="Times New Roman" w:hAnsi="Times New Roman"/>
          <w:sz w:val="28"/>
          <w:szCs w:val="28"/>
        </w:rPr>
        <w:lastRenderedPageBreak/>
        <w:t xml:space="preserve">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а в отношении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0D7D9B" w:rsidRPr="00162EDE" w:rsidRDefault="000D7D9B" w:rsidP="000D7D9B">
      <w:pPr>
        <w:pStyle w:val="1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proofErr w:type="gramStart"/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</w:t>
      </w:r>
      <w:proofErr w:type="gramEnd"/>
      <w:r w:rsidRPr="00162EDE">
        <w:rPr>
          <w:spacing w:val="2"/>
        </w:rPr>
        <w:t xml:space="preserve"> требованиям проектно-сметных и аукционных документов, что повлекло причинение ущерба на общую сумму 204 190,08 рубля.</w:t>
      </w:r>
    </w:p>
    <w:p w:rsidR="000D7D9B" w:rsidRPr="00162EDE" w:rsidRDefault="000D7D9B" w:rsidP="000D7D9B">
      <w:pPr>
        <w:pStyle w:val="1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  <w:proofErr w:type="gramEnd"/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</w:t>
      </w:r>
      <w:proofErr w:type="gramEnd"/>
      <w:r w:rsidRPr="00162EDE">
        <w:rPr>
          <w:rFonts w:ascii="Times New Roman" w:hAnsi="Times New Roman"/>
          <w:sz w:val="28"/>
          <w:szCs w:val="28"/>
        </w:rPr>
        <w:t>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 xml:space="preserve">УК (не относятся </w:t>
      </w:r>
      <w:proofErr w:type="gramStart"/>
      <w:r w:rsidRPr="00162ED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162EDE">
        <w:rPr>
          <w:rFonts w:ascii="Times New Roman" w:hAnsi="Times New Roman"/>
          <w:i/>
          <w:sz w:val="28"/>
          <w:szCs w:val="28"/>
        </w:rPr>
        <w:t xml:space="preserve">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2 ст. 427 УК, в отношении заведующей молочно-товарного комплекса 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  <w:proofErr w:type="gramEnd"/>
    </w:p>
    <w:p w:rsidR="000D7D9B" w:rsidRPr="00162EDE" w:rsidRDefault="000D7D9B" w:rsidP="000D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lastRenderedPageBreak/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  <w:proofErr w:type="gramEnd"/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162EDE">
        <w:rPr>
          <w:rFonts w:ascii="Times New Roman" w:hAnsi="Times New Roman"/>
          <w:sz w:val="28"/>
          <w:szCs w:val="28"/>
        </w:rPr>
        <w:t>,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заведомо ложные сведения в отчеты формы 311 АПК «О движении скота и птицы».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 этом, причиняется вред как субъекту хозяйствования, так и непосредственно работникам.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приостановлению поставок продукции общества, причинив тем самым ущерб обществу на сумму свыше 140 000 рублей.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 xml:space="preserve">, в отношении </w:t>
      </w:r>
      <w:r w:rsidRPr="00162EDE">
        <w:rPr>
          <w:rFonts w:ascii="Times New Roman" w:hAnsi="Times New Roman"/>
          <w:sz w:val="28"/>
          <w:szCs w:val="28"/>
        </w:rPr>
        <w:lastRenderedPageBreak/>
        <w:t>должностного лица ОАО «</w:t>
      </w:r>
      <w:proofErr w:type="spellStart"/>
      <w:r w:rsidRPr="00162EDE">
        <w:rPr>
          <w:rFonts w:ascii="Times New Roman" w:hAnsi="Times New Roman"/>
          <w:sz w:val="28"/>
          <w:szCs w:val="28"/>
        </w:rPr>
        <w:t>Могилевхимволокно</w:t>
      </w:r>
      <w:proofErr w:type="spellEnd"/>
      <w:r w:rsidRPr="00162EDE">
        <w:rPr>
          <w:rFonts w:ascii="Times New Roman" w:hAnsi="Times New Roman"/>
          <w:sz w:val="28"/>
          <w:szCs w:val="28"/>
        </w:rPr>
        <w:t>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0D7D9B" w:rsidRPr="00162EDE" w:rsidRDefault="000D7D9B" w:rsidP="000D7D9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Осиповичского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0D7D9B" w:rsidRPr="00162EDE" w:rsidRDefault="000D7D9B" w:rsidP="000D7D9B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Осиповичским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0D7D9B" w:rsidRPr="00162EDE" w:rsidRDefault="000D7D9B" w:rsidP="000D7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0D7D9B" w:rsidRPr="00162EDE" w:rsidRDefault="000D7D9B" w:rsidP="000D7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  <w:proofErr w:type="gramEnd"/>
    </w:p>
    <w:p w:rsidR="000D7D9B" w:rsidRPr="00162EDE" w:rsidRDefault="000D7D9B" w:rsidP="000D7D9B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0D7D9B" w:rsidRPr="00162EDE" w:rsidRDefault="000D7D9B" w:rsidP="000D7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0D7D9B" w:rsidRPr="00162EDE" w:rsidRDefault="000D7D9B" w:rsidP="000D7D9B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0D7D9B" w:rsidRPr="00162EDE" w:rsidRDefault="000D7D9B" w:rsidP="000D7D9B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0D7D9B" w:rsidRPr="00162EDE" w:rsidRDefault="000D7D9B" w:rsidP="000D7D9B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Особое внимание уделяется соблюдению антикоррупционных </w:t>
      </w:r>
      <w:proofErr w:type="spell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ограничений</w:t>
      </w: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.Ц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ель</w:t>
      </w:r>
      <w:proofErr w:type="spell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  <w:proofErr w:type="gramEnd"/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</w:t>
      </w: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предоставление которой ограничено, полученные при исполнении им служебных (трудовых) обязанностей;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0D7D9B" w:rsidRPr="00162EDE" w:rsidRDefault="000D7D9B" w:rsidP="000D7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0D7D9B" w:rsidRPr="00162EDE" w:rsidRDefault="000D7D9B" w:rsidP="000D7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0D7D9B" w:rsidRPr="00162EDE" w:rsidRDefault="000D7D9B" w:rsidP="000D7D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6C5464" w:rsidRDefault="006C5464"/>
    <w:sectPr w:rsidR="006C5464" w:rsidSect="001901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9B"/>
    <w:rsid w:val="000D7D9B"/>
    <w:rsid w:val="0019010B"/>
    <w:rsid w:val="006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0D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0D7D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0D7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D7D9B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0D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0D7D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0D7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D7D9B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cp:lastPrinted>2021-10-18T09:09:00Z</cp:lastPrinted>
  <dcterms:created xsi:type="dcterms:W3CDTF">2021-10-14T14:31:00Z</dcterms:created>
  <dcterms:modified xsi:type="dcterms:W3CDTF">2021-10-18T09:11:00Z</dcterms:modified>
</cp:coreProperties>
</file>