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color w:val="FF0000"/>
          <w:sz w:val="30"/>
          <w:szCs w:val="30"/>
          <w:highlight w:val="yellow"/>
          <w:lang w:eastAsia="ru-RU"/>
        </w:rPr>
        <w:t>Добровольное страхование дополнительной пенсии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финансовой поддержкой государства (программа «три плюс три»)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(Указ Президента Республики Беларусь от 27 сентября 2021 г. № 367 «О добровольном страховании дополнительной накопительной пенсии»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1 октября 2022 г.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вводится дополнительный вид добровольного пенсионного страхования в страховой организации –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добровольное страхование дополнительной накопительной пенсии (программа «три плюс три»)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 xml:space="preserve">В чем преимущество нового пенсионного страхования?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Главное отличие новой программы страхования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других накопительных пенсионных программ страховых организаций –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государственное </w:t>
      </w:r>
      <w:proofErr w:type="spellStart"/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софинансирование</w:t>
      </w:r>
      <w:proofErr w:type="spellEnd"/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Оно заключается в том, что работникам,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которые примут решение участвовать в новой программе 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1 октября 2022 г. будут уплачивать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своей заработной платы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дополнительный взнос на будущую накопительную пенсию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часть взносов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эту пенсию будет оплачена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 государственных средств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Тариф накопительного взноса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B4AD3" w:rsidRPr="009057CE" w:rsidRDefault="009B4AD3" w:rsidP="009B4A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работника – от 1 до 10 процентов (включительно) фактического заработка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Дополнительный взнос 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накопительную пенсию по выбранному тарифу работник уплачивает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наряду с обязательным 1-процентным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взносом в бюджет фонда социальной защиты населения. </w:t>
      </w:r>
    </w:p>
    <w:p w:rsidR="009B4AD3" w:rsidRPr="009057CE" w:rsidRDefault="009B4AD3" w:rsidP="009B4AD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работодателя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соразмерно взносу работника, но не более 3 процентных пунктов.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случае участия работника в новой программе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страхования его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работодатель обязан уплачивать дополнительный взнос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накопительную пенсию этого работника. </w:t>
      </w:r>
    </w:p>
    <w:p w:rsidR="009B4AD3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57CE" w:rsidRDefault="009057CE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57CE" w:rsidRPr="009057CE" w:rsidRDefault="009057CE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7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495"/>
        <w:gridCol w:w="3081"/>
      </w:tblGrid>
      <w:tr w:rsidR="009B4AD3" w:rsidRPr="009057CE" w:rsidTr="009B4AD3">
        <w:trPr>
          <w:tblCellSpacing w:w="0" w:type="dxa"/>
        </w:trPr>
        <w:tc>
          <w:tcPr>
            <w:tcW w:w="2115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Работник</w:t>
            </w:r>
          </w:p>
        </w:tc>
        <w:tc>
          <w:tcPr>
            <w:tcW w:w="2490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Работодатель</w:t>
            </w:r>
          </w:p>
        </w:tc>
        <w:tc>
          <w:tcPr>
            <w:tcW w:w="3075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Итого: </w:t>
            </w:r>
          </w:p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общий тариф взноса на накопительную пенсию</w:t>
            </w:r>
          </w:p>
        </w:tc>
      </w:tr>
      <w:tr w:rsidR="009B4AD3" w:rsidRPr="009057CE" w:rsidTr="009B4AD3">
        <w:trPr>
          <w:tblCellSpacing w:w="0" w:type="dxa"/>
        </w:trPr>
        <w:tc>
          <w:tcPr>
            <w:tcW w:w="2115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1%</w:t>
            </w:r>
          </w:p>
        </w:tc>
        <w:tc>
          <w:tcPr>
            <w:tcW w:w="2490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1%</w:t>
            </w:r>
          </w:p>
        </w:tc>
        <w:tc>
          <w:tcPr>
            <w:tcW w:w="3075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2%</w:t>
            </w:r>
          </w:p>
        </w:tc>
      </w:tr>
      <w:tr w:rsidR="009B4AD3" w:rsidRPr="009057CE" w:rsidTr="009B4AD3">
        <w:trPr>
          <w:tblCellSpacing w:w="0" w:type="dxa"/>
        </w:trPr>
        <w:tc>
          <w:tcPr>
            <w:tcW w:w="2115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2%</w:t>
            </w:r>
          </w:p>
        </w:tc>
        <w:tc>
          <w:tcPr>
            <w:tcW w:w="2490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2%</w:t>
            </w:r>
          </w:p>
        </w:tc>
        <w:tc>
          <w:tcPr>
            <w:tcW w:w="3075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4%</w:t>
            </w:r>
          </w:p>
        </w:tc>
      </w:tr>
      <w:tr w:rsidR="009B4AD3" w:rsidRPr="009057CE" w:rsidTr="009B4AD3">
        <w:trPr>
          <w:tblCellSpacing w:w="0" w:type="dxa"/>
        </w:trPr>
        <w:tc>
          <w:tcPr>
            <w:tcW w:w="2115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3%</w:t>
            </w:r>
          </w:p>
        </w:tc>
        <w:tc>
          <w:tcPr>
            <w:tcW w:w="2490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3%</w:t>
            </w:r>
          </w:p>
        </w:tc>
        <w:tc>
          <w:tcPr>
            <w:tcW w:w="3075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6%</w:t>
            </w:r>
          </w:p>
        </w:tc>
      </w:tr>
      <w:tr w:rsidR="009B4AD3" w:rsidRPr="009057CE" w:rsidTr="009B4AD3">
        <w:trPr>
          <w:tblCellSpacing w:w="0" w:type="dxa"/>
        </w:trPr>
        <w:tc>
          <w:tcPr>
            <w:tcW w:w="2115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4%</w:t>
            </w:r>
          </w:p>
        </w:tc>
        <w:tc>
          <w:tcPr>
            <w:tcW w:w="2490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3%</w:t>
            </w:r>
          </w:p>
        </w:tc>
        <w:tc>
          <w:tcPr>
            <w:tcW w:w="3075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7%</w:t>
            </w:r>
          </w:p>
        </w:tc>
      </w:tr>
      <w:tr w:rsidR="009B4AD3" w:rsidRPr="009057CE" w:rsidTr="009B4AD3">
        <w:trPr>
          <w:tblCellSpacing w:w="0" w:type="dxa"/>
        </w:trPr>
        <w:tc>
          <w:tcPr>
            <w:tcW w:w="2115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5%</w:t>
            </w:r>
          </w:p>
        </w:tc>
        <w:tc>
          <w:tcPr>
            <w:tcW w:w="2490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3%</w:t>
            </w:r>
          </w:p>
        </w:tc>
        <w:tc>
          <w:tcPr>
            <w:tcW w:w="3075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8%</w:t>
            </w:r>
          </w:p>
        </w:tc>
      </w:tr>
      <w:tr w:rsidR="009B4AD3" w:rsidRPr="009057CE" w:rsidTr="009B4AD3">
        <w:trPr>
          <w:tblCellSpacing w:w="0" w:type="dxa"/>
        </w:trPr>
        <w:tc>
          <w:tcPr>
            <w:tcW w:w="2115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…</w:t>
            </w:r>
          </w:p>
        </w:tc>
        <w:tc>
          <w:tcPr>
            <w:tcW w:w="2490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3%</w:t>
            </w:r>
          </w:p>
        </w:tc>
        <w:tc>
          <w:tcPr>
            <w:tcW w:w="3075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…</w:t>
            </w:r>
          </w:p>
        </w:tc>
      </w:tr>
      <w:tr w:rsidR="009B4AD3" w:rsidRPr="009057CE" w:rsidTr="009B4AD3">
        <w:trPr>
          <w:tblCellSpacing w:w="0" w:type="dxa"/>
        </w:trPr>
        <w:tc>
          <w:tcPr>
            <w:tcW w:w="2115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10%</w:t>
            </w:r>
          </w:p>
        </w:tc>
        <w:tc>
          <w:tcPr>
            <w:tcW w:w="2490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3%</w:t>
            </w:r>
          </w:p>
        </w:tc>
        <w:tc>
          <w:tcPr>
            <w:tcW w:w="3075" w:type="dxa"/>
            <w:hideMark/>
          </w:tcPr>
          <w:p w:rsidR="009B4AD3" w:rsidRPr="009057CE" w:rsidRDefault="009B4AD3" w:rsidP="009B4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57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13%</w:t>
            </w:r>
          </w:p>
        </w:tc>
      </w:tr>
    </w:tbl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общий взнос работодателя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социальное (пенсионное) страхование не увеличится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него будет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соразмерно уменьшен тариф обязательного 28-процентного страхового взноса на пенсионное страхование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бюджет фонда соцзащиты.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Передача части взноса работодателя (до 3 процентов) в пенсионные накопления работнику – это выпадающие доходы бюджета фонда соцзащиты. Поэтому государство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принимает на себя обязательства по сохранению доходов бюджета фонда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обеспечения выплаты текущих пенсий в рамках солидарной пенсионной системы.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этом и состоит механизм государственного </w:t>
      </w:r>
      <w:proofErr w:type="spellStart"/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софинансирования</w:t>
      </w:r>
      <w:proofErr w:type="spellEnd"/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новой программы добровольного страхования дополнительной накопительной пенсии по Указу № 367.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Кто может участвовать в программе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 участвовать в новом страховании предоставляется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работникам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7C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(гражданам, работающим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собственности)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 которых их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работодателями уплачиваются обязательные взносы в бюджет фонда соцзащиты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Вступать в новую программу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страхования можно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позднее, чем за три года до достижения общеустановленного пенсионного возраста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 xml:space="preserve">Порядок вступления в новую программу и участие в ней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Добровольное страхование дополнительной накопительной пенсии по Указу № 367 будет осуществляться республиканским унитарным страховым предприятием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proofErr w:type="spellStart"/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Стравита</w:t>
      </w:r>
      <w:proofErr w:type="spellEnd"/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(страховщик).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Работники, желающие формировать дополнительную накопительную пенсию, смогут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1 октября 2022 г.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подавать заявление и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заключать договор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непосредственно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страховщика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в электронном виде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через официальный сайт страховщика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Дополнительные взносы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накопительную пенсию в РУСП «</w:t>
      </w:r>
      <w:proofErr w:type="spellStart"/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Стравита</w:t>
      </w:r>
      <w:proofErr w:type="spellEnd"/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будут ежемесячно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перечисляться работодателем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по заявлению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работника.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 вправе менять тариф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взноса на накопительную пенсию, но не чаще 1 раза в год. Также можно в любой момент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приостановить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свое участие в программе </w:t>
      </w:r>
      <w:proofErr w:type="gramStart"/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proofErr w:type="gramEnd"/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затем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возобновить 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уплату дополнительных взносов.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 достижении общеустановленного пенсионного возраста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страховщиком работнику ежемесячно будет выплачиваться дополнительная накопительная пенсия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течение 5 или 10 лет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 выбору гражданина).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Размер будущей накопительной пенсии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накопительной пенсии будет исчисляться из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сумм дополнительных взносов с учетом доходов от их инвестирования 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(по принципу – сколько накопил, столько и получил).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Детальную информацию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возможных размерах будущей накопительной пенсии, а также о процедуре участия в добровольном страховании дополнительной накопительной пенсии по Указу № 367 можно получить у страховщика – РУСП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proofErr w:type="spellStart"/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Стравита</w:t>
      </w:r>
      <w:proofErr w:type="spellEnd"/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».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Что дает работнику участие в пенсионном страховании по Указу № 367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B4AD3" w:rsidRPr="009057CE" w:rsidRDefault="009B4AD3" w:rsidP="009B4A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доступный и понятный механизм заблаговременного сбережения средств на старость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финансовой поддержкой государства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 вступлении работника в программу взносы на его будущую накопительную пенсию на 30-50 процентов будут оплачены из государственных средств</w:t>
      </w:r>
    </w:p>
    <w:p w:rsidR="009B4AD3" w:rsidRPr="009057CE" w:rsidRDefault="009B4AD3" w:rsidP="009B4A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на льготу по подоходному налогу.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Так, работникам предоставляется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право на получение социального налогового вычета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сумму уплаченных за счет средств работника страховых 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взносов на будущую накопительную пенсию. Это означает, что размер заработка работника, с которого работодателем исчисляется подоходный налог (13%), будет уменьшен на величину страхового взноса, уплаченного за счет средств работника. 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Дополнительные накопительные пенсии 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освобождаются от подоходного налога с физических лиц </w:t>
      </w:r>
    </w:p>
    <w:p w:rsidR="009B4AD3" w:rsidRPr="009057CE" w:rsidRDefault="009B4AD3" w:rsidP="009B4A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возможность н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аследования пенсионных накоплений</w:t>
      </w:r>
    </w:p>
    <w:p w:rsidR="009B4AD3" w:rsidRPr="009057CE" w:rsidRDefault="009B4AD3" w:rsidP="009B4A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гарантия сохранности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пенсионных накоплений. Осуществление добровольного страхования дополнительной накопительной пенсии возложено на государственную страховую организацию – РУСП «</w:t>
      </w:r>
      <w:proofErr w:type="spellStart"/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Стравита</w:t>
      </w:r>
      <w:proofErr w:type="spellEnd"/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Государство гарантирует страховые выплаты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договорам страхования, заключенным этим страховым предприятием.</w:t>
      </w:r>
    </w:p>
    <w:p w:rsidR="009B4AD3" w:rsidRPr="009057CE" w:rsidRDefault="009B4AD3" w:rsidP="009B4A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вступление работника в новую программу никак </w:t>
      </w:r>
      <w:r w:rsidRPr="009057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отразится на его государственной трудовой (солидарной) пенсии</w:t>
      </w: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>. Ее размер будет определяться по тем же правилам, что и у работников, не участвующих в добровольном страховании, – исходя из показателей стажа и заработка до обращения за пенсией.</w:t>
      </w:r>
    </w:p>
    <w:p w:rsidR="009B4AD3" w:rsidRPr="009057CE" w:rsidRDefault="009B4AD3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Дополнительная информация о добровольном страховании дополнительной накопительной пенсии размещена на сайте Фонда социальной защиты населения Министерства труда и социальной защиты. </w:t>
      </w:r>
    </w:p>
    <w:p w:rsidR="00C94576" w:rsidRDefault="00C94576" w:rsidP="009B4A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94576" w:rsidRPr="00C94576" w:rsidRDefault="00C94576" w:rsidP="00C9457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94576" w:rsidRPr="00C94576" w:rsidRDefault="00C94576" w:rsidP="00C9457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94576" w:rsidRDefault="00C94576" w:rsidP="00C9457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4AD3" w:rsidRPr="00C94576" w:rsidRDefault="009B4AD3" w:rsidP="00C94576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sectPr w:rsidR="009B4AD3" w:rsidRPr="00C94576" w:rsidSect="00C9457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C48"/>
    <w:multiLevelType w:val="multilevel"/>
    <w:tmpl w:val="4974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12BA7"/>
    <w:multiLevelType w:val="multilevel"/>
    <w:tmpl w:val="A144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827F9"/>
    <w:multiLevelType w:val="multilevel"/>
    <w:tmpl w:val="519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EE2BD4"/>
    <w:multiLevelType w:val="multilevel"/>
    <w:tmpl w:val="59E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C8"/>
    <w:rsid w:val="008D71C8"/>
    <w:rsid w:val="009057CE"/>
    <w:rsid w:val="009B4AD3"/>
    <w:rsid w:val="00C94576"/>
    <w:rsid w:val="00E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A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A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0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6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1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Славгород</dc:creator>
  <cp:keywords/>
  <dc:description/>
  <cp:lastModifiedBy>Твердова Виктория Станиславовна</cp:lastModifiedBy>
  <cp:revision>6</cp:revision>
  <cp:lastPrinted>2022-03-15T05:21:00Z</cp:lastPrinted>
  <dcterms:created xsi:type="dcterms:W3CDTF">2022-03-14T13:40:00Z</dcterms:created>
  <dcterms:modified xsi:type="dcterms:W3CDTF">2022-10-18T11:18:00Z</dcterms:modified>
</cp:coreProperties>
</file>