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03" w:rsidRPr="000C20ED" w:rsidRDefault="001C5D03" w:rsidP="001C5D03">
      <w:pPr>
        <w:pageBreakBefore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0C20ED">
        <w:rPr>
          <w:rFonts w:ascii="Times New Roman" w:hAnsi="Times New Roman"/>
          <w:b/>
          <w:sz w:val="30"/>
          <w:szCs w:val="30"/>
        </w:rPr>
        <w:t>ИНФОРМАЦИЯ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0C20ED">
        <w:rPr>
          <w:rFonts w:ascii="Times New Roman" w:hAnsi="Times New Roman"/>
          <w:b/>
          <w:sz w:val="30"/>
          <w:szCs w:val="30"/>
        </w:rPr>
        <w:t>О СТРАТЕГИИ УСТО</w:t>
      </w:r>
      <w:r>
        <w:rPr>
          <w:rFonts w:ascii="Times New Roman" w:hAnsi="Times New Roman"/>
          <w:b/>
          <w:sz w:val="30"/>
          <w:szCs w:val="30"/>
        </w:rPr>
        <w:t>Й</w:t>
      </w:r>
      <w:r w:rsidRPr="000C20ED">
        <w:rPr>
          <w:rFonts w:ascii="Times New Roman" w:hAnsi="Times New Roman"/>
          <w:b/>
          <w:sz w:val="30"/>
          <w:szCs w:val="30"/>
        </w:rPr>
        <w:t>ЧИВОГО РАЗВИТИЯ МОГИЛЕВСКОЙ ОБЛАСТИНА ПЕРИОД ДО 2035 ГОДА И ЦЕЛЯХ УСТОЙЧИВОГО РАЗВИТИЯ</w:t>
      </w:r>
    </w:p>
    <w:p w:rsidR="001C5D03" w:rsidRPr="000C20ED" w:rsidRDefault="001C5D03" w:rsidP="001C5D03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Каждый из нас в своей жизни задумывается: как поступать правильно? Чему надо научить детей? Что мы оставим нашим потомкам после себя? 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Эти вопросы одинаковы для любого человека: в Республике Беларусь и Китае, в странах Африки и государствах Балтийского региона. 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proofErr w:type="gramStart"/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ходе  Саммита</w:t>
      </w:r>
      <w:proofErr w:type="gramEnd"/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 xml:space="preserve"> ООН, прошедшего 25 сентября 2015 г., была принята резолюция Генеральной Ассамблеи ООН № 70/1 «Преобразование нашего мира: Повестка дня в области устойчивого развития на период до 2030 года» (далее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 xml:space="preserve"> Повестка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2030), которая включает в себя список из 17 Целей устойчивого развития, направленных на ликвидацию бедности, борьбу с неравенством и несправедливостью, решение проблем, связанных с климатическими изменениями.</w:t>
      </w: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17 Целей Устойчивого Развития – это: </w:t>
      </w:r>
    </w:p>
    <w:p w:rsidR="001C5D03" w:rsidRPr="000C20ED" w:rsidRDefault="001C5D03" w:rsidP="001C5D0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467E7733" wp14:editId="7CAFB7DD">
            <wp:simplePos x="0" y="0"/>
            <wp:positionH relativeFrom="column">
              <wp:posOffset>-5080</wp:posOffset>
            </wp:positionH>
            <wp:positionV relativeFrom="paragraph">
              <wp:posOffset>212090</wp:posOffset>
            </wp:positionV>
            <wp:extent cx="790575" cy="791210"/>
            <wp:effectExtent l="0" t="0" r="9525" b="8890"/>
            <wp:wrapSquare wrapText="bothSides"/>
            <wp:docPr id="1" name="Рисунок 1" descr="https://www.belstat.gov.by/upload-belstat/upload-belstat-image/SDG/1_no_pover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lstat.gov.by/upload-belstat/upload-belstat-image/SDG/1_no_povert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1 ЛИКВИДАЦИЯ НИЩЕТЫ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направлена на предотвращение риска бедности и социальной изоляции, на повышение качества, условий и уровня жизни населения. Достижение этой цели основывается на обеспечении устойчивого роста доходов населения, социальных гарантий для наиболее уязвимых граждан, доступности первоочередных товаров и услуг, обеспечении населения доступным и комфортным жильем.</w:t>
      </w: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7C2D9F67" wp14:editId="7D493803">
            <wp:simplePos x="0" y="0"/>
            <wp:positionH relativeFrom="column">
              <wp:posOffset>-5080</wp:posOffset>
            </wp:positionH>
            <wp:positionV relativeFrom="paragraph">
              <wp:posOffset>212725</wp:posOffset>
            </wp:positionV>
            <wp:extent cx="790575" cy="791845"/>
            <wp:effectExtent l="0" t="0" r="9525" b="8255"/>
            <wp:wrapSquare wrapText="bothSides"/>
            <wp:docPr id="2" name="Рисунок 2" descr="https://www.belstat.gov.by/upload-belstat/upload-belstat-image/SDG/2_zero_hun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elstat.gov.by/upload-belstat/upload-belstat-image/SDG/2_zero_hung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2 ЛИКВИДАЦИЯ ГОЛОДА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нацелена на обеспечение продовольственной безопасности, повышение качества питания населения и содействие устойчивому развитию сельского хозяйства при бережном отношении к окружающей среде. Беларусь – государство с благоприятными условиями для поддержания высокого уровня продовольственной безопасности, обеспечения полноценного питания и здорового образа жизни населения. Насыщение внутреннего рынка продовольственных товаров на 80% обеспечивается товарами собственного производства. Особое внимание для достижения ЦУР 2 уделяется сохранению генетических ресурсов для производства продовольствия и ведения сельского хозяйства.</w:t>
      </w: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C5D03" w:rsidRPr="000C20ED" w:rsidRDefault="001C5D03" w:rsidP="001C5D0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CF6C632" wp14:editId="221E56CA">
            <wp:simplePos x="0" y="0"/>
            <wp:positionH relativeFrom="column">
              <wp:posOffset>-3175</wp:posOffset>
            </wp:positionH>
            <wp:positionV relativeFrom="paragraph">
              <wp:posOffset>12700</wp:posOffset>
            </wp:positionV>
            <wp:extent cx="817245" cy="819150"/>
            <wp:effectExtent l="0" t="0" r="1905" b="0"/>
            <wp:wrapSquare wrapText="bothSides"/>
            <wp:docPr id="3" name="Рисунок 3" descr="https://www.belstat.gov.by/upload-belstat/upload-belstat-image/SDG/3_good_health_and_well_be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elstat.gov.by/upload-belstat/upload-belstat-image/SDG/3_good_health_and_well_bei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3 ХОРОШЕЕ ЗДОРОВЬЕ И БЛАГОПОЛУЧИЕ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направлена на улучшение здоровья населения с охватом всех этапов жизни, охрану материнства и детства, предотвращение эпидемии основных инфекционных заболеваний, снижение уровня заболеваемости неинфекционными заболеваниями, обеспечение широкой информированности населения о факторах риска, угрожающих здоровью (курение, злоупотребление алкоголем, нездоровое питание, недостаток физической активности), стимулирование здорового образа жизни, формирование у населения </w:t>
      </w:r>
      <w:proofErr w:type="spellStart"/>
      <w:r w:rsidRPr="000C20ED">
        <w:rPr>
          <w:rFonts w:ascii="Times New Roman" w:hAnsi="Times New Roman"/>
          <w:sz w:val="30"/>
          <w:szCs w:val="30"/>
        </w:rPr>
        <w:t>самосохранительного</w:t>
      </w:r>
      <w:proofErr w:type="spellEnd"/>
      <w:r w:rsidRPr="000C20ED">
        <w:rPr>
          <w:rFonts w:ascii="Times New Roman" w:hAnsi="Times New Roman"/>
          <w:sz w:val="30"/>
          <w:szCs w:val="30"/>
        </w:rPr>
        <w:t xml:space="preserve"> поведения. Первоочередными задачами являются повышение качества и доступности услуг системы здравоохранения, формирование системы профилактики заболеваний, внедрение новых технологий в области репродуктивного здоровья, доступность безопасных и эффективных лекарственных средств и вакцин. Их решение обеспечит продолжительную и здоровую жизнь граждан, качественное развитие человеческого потенциала страны.</w:t>
      </w: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 wp14:anchorId="00F44925" wp14:editId="36A6C80A">
            <wp:simplePos x="0" y="0"/>
            <wp:positionH relativeFrom="column">
              <wp:posOffset>4445</wp:posOffset>
            </wp:positionH>
            <wp:positionV relativeFrom="paragraph">
              <wp:posOffset>218440</wp:posOffset>
            </wp:positionV>
            <wp:extent cx="771525" cy="772160"/>
            <wp:effectExtent l="0" t="0" r="9525" b="8890"/>
            <wp:wrapSquare wrapText="bothSides"/>
            <wp:docPr id="4" name="Рисунок 4" descr="https://www.belstat.gov.by/upload-belstat/upload-belstat-image/SDG/4_quality_edu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elstat.gov.by/upload-belstat/upload-belstat-image/SDG/4_quality_educa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D03" w:rsidRPr="000C20ED" w:rsidRDefault="001C5D03" w:rsidP="001C5D0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4 КАЧЕСТВЕННОЕ ОБРАЗОВАНИЕ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направлена на повышение доступности и качества образования в соответствии с потребностями инновационной экономики и требованиями информационного общества, развитие системы непрерывного образования, повышение квалификации учителей. Беларусь относится к числу стран с высоким уровнем образования населения. Достигнут полный охват детей пятилетнего возраста подготовкой к школе, отмечается высокий индекс детского развития в раннем возрасте. Начальное и базовое образование являются обязательными, детям предоставляются равные возможности его получения. Улучшению образовательного процесса способствует высокий уровень оснащенности компьютерами в учебных целях с доступом к сети Интернет. Созданная инфраструктура в полной мере обеспечивает учреждения образования электричеством, питьевой водой и отвечает требованиям санитарно-технических норм.</w:t>
      </w: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0" locked="0" layoutInCell="1" allowOverlap="1" wp14:anchorId="3754F8EF" wp14:editId="51DEAAD6">
            <wp:simplePos x="0" y="0"/>
            <wp:positionH relativeFrom="column">
              <wp:posOffset>4445</wp:posOffset>
            </wp:positionH>
            <wp:positionV relativeFrom="paragraph">
              <wp:posOffset>38100</wp:posOffset>
            </wp:positionV>
            <wp:extent cx="771525" cy="773430"/>
            <wp:effectExtent l="0" t="0" r="9525" b="7620"/>
            <wp:wrapSquare wrapText="bothSides"/>
            <wp:docPr id="5" name="Рисунок 5" descr="https://www.belstat.gov.by/upload-belstat/upload-belstat-image/SDG/5_gender_equa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belstat.gov.by/upload-belstat/upload-belstat-image/SDG/5_gender_equalit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5 ГЕНДЕРНОЕ РАВЕНСТВО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охватывает проблемы гендерного неравенства, лишающего женщин и девочек их основных прав и возможностей и без решения которых невозможно существование благополучного общества. Для реализации этой цели необходимо обеспечить равенство среди женщин и мужчин, в том числе в получении образования, трудоустройстве, преодолении любых видов дискриминации. Гендерному равенству также способствуют расширение участия женщин в принятии решений, </w:t>
      </w:r>
      <w:r w:rsidRPr="000C20ED">
        <w:rPr>
          <w:rFonts w:ascii="Times New Roman" w:hAnsi="Times New Roman"/>
          <w:sz w:val="30"/>
          <w:szCs w:val="30"/>
        </w:rPr>
        <w:lastRenderedPageBreak/>
        <w:t>реализация их лидерского потенциала, снижение разрыва в соотношении доходов женщин с доходами мужчин.</w:t>
      </w: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4384" behindDoc="0" locked="0" layoutInCell="1" allowOverlap="1" wp14:anchorId="664CAE8E" wp14:editId="26D15D1F">
            <wp:simplePos x="0" y="0"/>
            <wp:positionH relativeFrom="column">
              <wp:posOffset>4445</wp:posOffset>
            </wp:positionH>
            <wp:positionV relativeFrom="paragraph">
              <wp:posOffset>9525</wp:posOffset>
            </wp:positionV>
            <wp:extent cx="771525" cy="772795"/>
            <wp:effectExtent l="0" t="0" r="9525" b="8255"/>
            <wp:wrapSquare wrapText="bothSides"/>
            <wp:docPr id="6" name="Рисунок 6" descr="https://www.belstat.gov.by/upload-belstat/upload-belstat-image/SDG/6_clean_water_sanit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belstat.gov.by/upload-belstat/upload-belstat-image/SDG/6_clean_water_sanitati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6 ЧИСТАЯ ВОДА И САНИТАРИЯ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призывает к решению проблем, связанных с доступом к питьевой воде и санитарии, а также к защите водных экосистем. В части водной политики приоритетными направлениями для Республики Беларусь являются надежное водоснабжение населения водой нормативного качества, эффективное </w:t>
      </w:r>
      <w:proofErr w:type="spellStart"/>
      <w:r w:rsidRPr="000C20ED">
        <w:rPr>
          <w:rFonts w:ascii="Times New Roman" w:hAnsi="Times New Roman"/>
          <w:sz w:val="30"/>
          <w:szCs w:val="30"/>
        </w:rPr>
        <w:t>водообеспечение</w:t>
      </w:r>
      <w:proofErr w:type="spellEnd"/>
      <w:r w:rsidRPr="000C20ED">
        <w:rPr>
          <w:rFonts w:ascii="Times New Roman" w:hAnsi="Times New Roman"/>
          <w:sz w:val="30"/>
          <w:szCs w:val="30"/>
        </w:rPr>
        <w:t xml:space="preserve"> отраслей экономики, безопасное отведение сточных вод, обеспечение хорошего экологического состояния водных объектов и другое.</w:t>
      </w: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C5D03" w:rsidRPr="000C20ED" w:rsidRDefault="001C5D03" w:rsidP="001C5D0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5408" behindDoc="0" locked="0" layoutInCell="1" allowOverlap="1" wp14:anchorId="48EE3871" wp14:editId="75F81A25">
            <wp:simplePos x="0" y="0"/>
            <wp:positionH relativeFrom="column">
              <wp:posOffset>-5080</wp:posOffset>
            </wp:positionH>
            <wp:positionV relativeFrom="paragraph">
              <wp:posOffset>18415</wp:posOffset>
            </wp:positionV>
            <wp:extent cx="781050" cy="782320"/>
            <wp:effectExtent l="0" t="0" r="0" b="0"/>
            <wp:wrapSquare wrapText="bothSides"/>
            <wp:docPr id="7" name="Рисунок 7" descr="https://www.belstat.gov.by/upload-belstat/upload-belstat-image/SDG/7_affordable_clean_ener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belstat.gov.by/upload-belstat/upload-belstat-image/SDG/7_affordable_clean_energ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7 НЕДОРОГОСТОЯЩАЯ ЧИСТАЯ ЭНЕРГИЯ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направлена на укрепление энергетической безопасности, в том числе обеспечение доступности и надежности электроснабжения для потребителей, снижение энергоемкости ВВП, максимально возможное вовлечение в топливный баланс возобновляемых источников энергии, сдерживание роста валового потребления топливно-энергетических ресурсов. В Республике Беларусь доля населения, имеющего доступ к электроэнергии, составляет 100 %. Это объясняется отсутствием дефицита установленной мощности </w:t>
      </w:r>
      <w:proofErr w:type="spellStart"/>
      <w:r w:rsidRPr="000C20ED">
        <w:rPr>
          <w:rFonts w:ascii="Times New Roman" w:hAnsi="Times New Roman"/>
          <w:sz w:val="30"/>
          <w:szCs w:val="30"/>
        </w:rPr>
        <w:t>энергоисточников</w:t>
      </w:r>
      <w:proofErr w:type="spellEnd"/>
      <w:r w:rsidRPr="000C20ED">
        <w:rPr>
          <w:rFonts w:ascii="Times New Roman" w:hAnsi="Times New Roman"/>
          <w:sz w:val="30"/>
          <w:szCs w:val="30"/>
        </w:rPr>
        <w:t>, наличием развитой системы электрических сетей, а также доступной стоимостью электроэнергии.</w:t>
      </w: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6432" behindDoc="0" locked="0" layoutInCell="1" allowOverlap="1" wp14:anchorId="4A0FE824" wp14:editId="5F4979BA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781050" cy="782955"/>
            <wp:effectExtent l="0" t="0" r="0" b="0"/>
            <wp:wrapSquare wrapText="bothSides"/>
            <wp:docPr id="8" name="Рисунок 8" descr="https://www.belstat.gov.by/upload-belstat/upload-belstat-image/SDG/8_decent_work_economic_grow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belstat.gov.by/upload-belstat/upload-belstat-image/SDG/8_decent_work_economic_growt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8 ДОСТОЙНАЯ РАБОТА И ЭКОНОМИЧЕСКИЙ </w:t>
      </w:r>
      <w:r>
        <w:rPr>
          <w:rFonts w:ascii="Times New Roman" w:hAnsi="Times New Roman"/>
          <w:sz w:val="30"/>
          <w:szCs w:val="30"/>
        </w:rPr>
        <w:t xml:space="preserve">            </w:t>
      </w:r>
      <w:r w:rsidRPr="000C20ED">
        <w:rPr>
          <w:rFonts w:ascii="Times New Roman" w:hAnsi="Times New Roman"/>
          <w:sz w:val="30"/>
          <w:szCs w:val="30"/>
        </w:rPr>
        <w:t xml:space="preserve">РОСТ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способствует устойчивому экономическому росту, эффективной занятости, созданию высокопроизводительных рабочих мест и, в результате, росту доходов и благосостояния населения. Обеспечение достойной занятости затрагивает все категории населения страны, в том числе молодежь, женщин, лиц с ограниченными возможностями. Эффективность работы экономики обеспечивается высоким уровнем квалификации работников, что является важным конкурентным преимуществом страны. Важная составляющая достойной работы – обеспечение безопасных и надежных условий труда, которые определяются через снижение уровня производственного травматизма.</w:t>
      </w: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0" locked="0" layoutInCell="1" allowOverlap="1" wp14:anchorId="20CFCDCE" wp14:editId="5F172DA1">
            <wp:simplePos x="0" y="0"/>
            <wp:positionH relativeFrom="column">
              <wp:posOffset>-5080</wp:posOffset>
            </wp:positionH>
            <wp:positionV relativeFrom="paragraph">
              <wp:posOffset>180340</wp:posOffset>
            </wp:positionV>
            <wp:extent cx="807720" cy="809625"/>
            <wp:effectExtent l="0" t="0" r="0" b="9525"/>
            <wp:wrapSquare wrapText="bothSides"/>
            <wp:docPr id="9" name="Рисунок 9" descr="https://www.belstat.gov.by/upload-belstat/upload-belstat-image/SDG/9_industry_innovation_infra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belstat.gov.by/upload-belstat/upload-belstat-image/SDG/9_industry_innovation_infrastructur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D03" w:rsidRPr="000C20ED" w:rsidRDefault="001C5D03" w:rsidP="001C5D0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9 ИНДУСТРИАЛИЗАЦИЯ, ИННОВАЦИЯ И ИНФРАСТРУКТУРА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направлена на развитие малых организаций, инновационной деятельности, </w:t>
      </w:r>
      <w:proofErr w:type="spellStart"/>
      <w:r w:rsidRPr="000C20ED">
        <w:rPr>
          <w:rFonts w:ascii="Times New Roman" w:hAnsi="Times New Roman"/>
          <w:sz w:val="30"/>
          <w:szCs w:val="30"/>
        </w:rPr>
        <w:t>экологизацию</w:t>
      </w:r>
      <w:proofErr w:type="spellEnd"/>
      <w:r w:rsidRPr="000C20ED">
        <w:rPr>
          <w:rFonts w:ascii="Times New Roman" w:hAnsi="Times New Roman"/>
          <w:sz w:val="30"/>
          <w:szCs w:val="30"/>
        </w:rPr>
        <w:t xml:space="preserve"> производства, активизацию научных исследований и наращивание технологического потенциала промышленных секторов </w:t>
      </w:r>
      <w:r w:rsidRPr="000C20ED">
        <w:rPr>
          <w:rFonts w:ascii="Times New Roman" w:hAnsi="Times New Roman"/>
          <w:sz w:val="30"/>
          <w:szCs w:val="30"/>
        </w:rPr>
        <w:lastRenderedPageBreak/>
        <w:t xml:space="preserve">экономики, укрепление организационного и кадрового потенциала научной сферы. Индустриальное развитие является одним из основных направлений белорусской экономики. Развитие промышленности в значительной степени определяет основные экономические тенденции в нашей стране. Модернизация промышленности неразрывно связана с внедрением инноваций в производственные процессы, развитием высокотехнологичных отраслей промышленности, расширением возможностей малого бизнеса и </w:t>
      </w:r>
      <w:proofErr w:type="spellStart"/>
      <w:r w:rsidRPr="000C20ED">
        <w:rPr>
          <w:rFonts w:ascii="Times New Roman" w:hAnsi="Times New Roman"/>
          <w:sz w:val="30"/>
          <w:szCs w:val="30"/>
        </w:rPr>
        <w:t>экологизацией</w:t>
      </w:r>
      <w:proofErr w:type="spellEnd"/>
      <w:r w:rsidRPr="000C20ED">
        <w:rPr>
          <w:rFonts w:ascii="Times New Roman" w:hAnsi="Times New Roman"/>
          <w:sz w:val="30"/>
          <w:szCs w:val="30"/>
        </w:rPr>
        <w:t xml:space="preserve"> производств. Благодаря развитию информационно-коммуникационных технологий создаются условия для перехода к цифровой экономике. </w:t>
      </w: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C5D03" w:rsidRPr="000C20ED" w:rsidRDefault="001C5D03" w:rsidP="001C5D0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8480" behindDoc="0" locked="0" layoutInCell="1" allowOverlap="1" wp14:anchorId="173E5282" wp14:editId="4CEFF09C">
            <wp:simplePos x="0" y="0"/>
            <wp:positionH relativeFrom="column">
              <wp:posOffset>-5080</wp:posOffset>
            </wp:positionH>
            <wp:positionV relativeFrom="paragraph">
              <wp:posOffset>8890</wp:posOffset>
            </wp:positionV>
            <wp:extent cx="790575" cy="792480"/>
            <wp:effectExtent l="0" t="0" r="9525" b="7620"/>
            <wp:wrapSquare wrapText="bothSides"/>
            <wp:docPr id="10" name="Рисунок 10" descr="https://www.belstat.gov.by/upload-belstat/upload-belstat-image/SDG/10_reduced_inaquli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belstat.gov.by/upload-belstat/upload-belstat-image/SDG/10_reduced_inaquliti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10 УМЕНЬШЕНИЕ НЕРАВЕНСТВА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стремится к сокращению неравенства по доходам, полу, возрасту, признаку инвалидности, социальному происхождению, месту проживания и другим признакам. Для реализации этой цели важным является развитие системы социальной защиты наиболее уязвимых групп населения.</w:t>
      </w: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9504" behindDoc="0" locked="0" layoutInCell="1" allowOverlap="1" wp14:anchorId="2BEE7108" wp14:editId="75730A02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819150" cy="821690"/>
            <wp:effectExtent l="0" t="0" r="0" b="0"/>
            <wp:wrapSquare wrapText="bothSides"/>
            <wp:docPr id="11" name="Рисунок 11" descr="https://www.belstat.gov.by/upload-belstat/upload-belstat-image/SDG/11_sustainable_cities_communi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belstat.gov.by/upload-belstat/upload-belstat-image/SDG/11_sustainable_cities_communitie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11 УСТОЙЧИВЫЕ ГОРОДА И НАСЕЛЕННЫЕ ПУНКТЫ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нацелена на развитие городов с доступом к основным услугам, адекватным энергоснабжением, жильем и транспортом. Государственная политика Беларуси предусматривает формирование комфортной для людей среды проживания в городах и сельской местности, включая внедрение новых форм организации социального и транспортного обслуживания жителей, реализацию концепции «умных» городов, обеспечение высокого качества и надежности жилищно-коммунальных услуг, безопасной среды для детей и подростков, доступной среды для лиц с ограниченными возможностями.</w:t>
      </w: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C5D03" w:rsidRPr="000C20ED" w:rsidRDefault="001C5D03" w:rsidP="001C5D0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0528" behindDoc="0" locked="0" layoutInCell="1" allowOverlap="1" wp14:anchorId="5953E137" wp14:editId="01F3E9CE">
            <wp:simplePos x="0" y="0"/>
            <wp:positionH relativeFrom="column">
              <wp:posOffset>13970</wp:posOffset>
            </wp:positionH>
            <wp:positionV relativeFrom="paragraph">
              <wp:posOffset>123190</wp:posOffset>
            </wp:positionV>
            <wp:extent cx="771525" cy="772160"/>
            <wp:effectExtent l="0" t="0" r="9525" b="8890"/>
            <wp:wrapSquare wrapText="bothSides"/>
            <wp:docPr id="12" name="Рисунок 12" descr="https://www.belstat.gov.by/upload-belstat/upload-belstat-image/SDG/12_responsible_consumption_produ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belstat.gov.by/upload-belstat/upload-belstat-image/SDG/12_responsible_consumption_productio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12 ОТВЕТСТВЕННОЕ ПОТРЕБЛЕНИЕ И ПРОИЗВОДСТВО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предусматривает развитие рационального использования природно-ресурсного потенциала и эффективного обращения с отходами. В Беларуси обеспечивается переход к рациональным моделям потребления и производства, внедряется система «зеленых» государственных закупок, вторичная переработка отходов.</w:t>
      </w: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C5D03" w:rsidRPr="000C20ED" w:rsidRDefault="001C5D03" w:rsidP="001C5D0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1552" behindDoc="0" locked="0" layoutInCell="1" allowOverlap="1" wp14:anchorId="055D29C1" wp14:editId="62178125">
            <wp:simplePos x="0" y="0"/>
            <wp:positionH relativeFrom="column">
              <wp:posOffset>4445</wp:posOffset>
            </wp:positionH>
            <wp:positionV relativeFrom="paragraph">
              <wp:posOffset>19050</wp:posOffset>
            </wp:positionV>
            <wp:extent cx="781050" cy="782320"/>
            <wp:effectExtent l="0" t="0" r="0" b="0"/>
            <wp:wrapSquare wrapText="bothSides"/>
            <wp:docPr id="13" name="Рисунок 13" descr="https://www.belstat.gov.by/upload-belstat/upload-belstat-image/SDG/13_climate_a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belstat.gov.by/upload-belstat/upload-belstat-image/SDG/13_climate_actio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13 БОРЬБА С ИЗМЕНЕНИЕМ КЛИМАТА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призывает включать меры реагирования на изменение климата в политику, национальные стратегии и планы. В 2016 году Республика Беларусь подписала Парижское соглашение об </w:t>
      </w:r>
      <w:r w:rsidRPr="000C20ED">
        <w:rPr>
          <w:rFonts w:ascii="Times New Roman" w:hAnsi="Times New Roman"/>
          <w:sz w:val="30"/>
          <w:szCs w:val="30"/>
        </w:rPr>
        <w:lastRenderedPageBreak/>
        <w:t xml:space="preserve">изменении климата, целями которого выступает удержание прироста глобальной средней температуры ниже 2 градусов и повышение способности адаптироваться к этим изменениям. Также Беларусь входит в число стран, принявших и осуществляющих национальную стратегию снижения риска бедствий в соответствии с </w:t>
      </w:r>
      <w:proofErr w:type="spellStart"/>
      <w:r w:rsidRPr="000C20ED">
        <w:rPr>
          <w:rFonts w:ascii="Times New Roman" w:hAnsi="Times New Roman"/>
          <w:sz w:val="30"/>
          <w:szCs w:val="30"/>
        </w:rPr>
        <w:t>Сендайской</w:t>
      </w:r>
      <w:proofErr w:type="spellEnd"/>
      <w:r w:rsidRPr="000C20ED">
        <w:rPr>
          <w:rFonts w:ascii="Times New Roman" w:hAnsi="Times New Roman"/>
          <w:sz w:val="30"/>
          <w:szCs w:val="30"/>
        </w:rPr>
        <w:t xml:space="preserve"> рамочной программой по снижению риска бедствий до 2030 года.</w:t>
      </w: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C5D03" w:rsidRPr="000C20ED" w:rsidRDefault="001C5D03" w:rsidP="001C5D0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2576" behindDoc="0" locked="0" layoutInCell="1" allowOverlap="1" wp14:anchorId="3AC24378" wp14:editId="49A337BF">
            <wp:simplePos x="0" y="0"/>
            <wp:positionH relativeFrom="column">
              <wp:posOffset>4445</wp:posOffset>
            </wp:positionH>
            <wp:positionV relativeFrom="paragraph">
              <wp:posOffset>28575</wp:posOffset>
            </wp:positionV>
            <wp:extent cx="733425" cy="733425"/>
            <wp:effectExtent l="0" t="0" r="9525" b="9525"/>
            <wp:wrapSquare wrapText="bothSides"/>
            <wp:docPr id="14" name="Рисунок 14" descr="https://www.belstat.gov.by/upload-belstat/upload-belstat-image/SDG/14_life_below_wa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belstat.gov.by/upload-belstat/upload-belstat-image/SDG/14_life_below_water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14 СОХРАНЕНИЕ МОРСКИХ ЭКОСИСТЕМ </w:t>
      </w:r>
      <w:r>
        <w:rPr>
          <w:rFonts w:ascii="Times New Roman" w:hAnsi="Times New Roman"/>
          <w:sz w:val="30"/>
          <w:szCs w:val="30"/>
        </w:rPr>
        <w:t xml:space="preserve">– </w:t>
      </w:r>
      <w:r w:rsidRPr="000C20ED">
        <w:rPr>
          <w:rFonts w:ascii="Times New Roman" w:hAnsi="Times New Roman"/>
          <w:sz w:val="30"/>
          <w:szCs w:val="30"/>
        </w:rPr>
        <w:t>находясь на Черноморско-Балтийском водоразделе, Беларусь вносит свой вклад в реализацию посредством охраны трансграничных рек, что содействует сохранению акваторий Балтийского и Черного морей. В стране на системной основе принимаются меры по борьбе с загрязнением водных объектов. Улучшено общее состояние водных объектов бассейнов Днепра, Западной Двины, Немана и Припяти (особенно по содержанию биогенных элементов). Наметилась тенденция к стабилизации состояния водных объектов бассейна Западного Буга. Благодаря реконструкции, модернизации и строительству очистных сооружений значительно снижен уровень антропогенной нагрузки на водные объекты.</w:t>
      </w: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3600" behindDoc="0" locked="0" layoutInCell="1" allowOverlap="1" wp14:anchorId="159E7C79" wp14:editId="7C19D883">
            <wp:simplePos x="0" y="0"/>
            <wp:positionH relativeFrom="column">
              <wp:posOffset>-33655</wp:posOffset>
            </wp:positionH>
            <wp:positionV relativeFrom="paragraph">
              <wp:posOffset>208915</wp:posOffset>
            </wp:positionV>
            <wp:extent cx="809625" cy="811530"/>
            <wp:effectExtent l="0" t="0" r="9525" b="7620"/>
            <wp:wrapSquare wrapText="bothSides"/>
            <wp:docPr id="16" name="Рисунок 16" descr="https://www.belstat.gov.by/upload-belstat/upload-belstat-image/SDG/15_life_on_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belstat.gov.by/upload-belstat/upload-belstat-image/SDG/15_life_on_lan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D03" w:rsidRPr="000C20ED" w:rsidRDefault="001C5D03" w:rsidP="001C5D03">
      <w:pPr>
        <w:tabs>
          <w:tab w:val="left" w:pos="1134"/>
        </w:tabs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15 СОХРАНЕНИЕ ЭКОСИСТЕМ СУШИ </w:t>
      </w:r>
      <w:proofErr w:type="gramStart"/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 направлена</w:t>
      </w:r>
      <w:proofErr w:type="gramEnd"/>
      <w:r w:rsidRPr="000C20ED">
        <w:rPr>
          <w:rFonts w:ascii="Times New Roman" w:hAnsi="Times New Roman"/>
          <w:sz w:val="30"/>
          <w:szCs w:val="30"/>
        </w:rPr>
        <w:t xml:space="preserve"> на оптимизацию систем природоохранных и особо охраняемых территорий, внедрение экономических механизмов сохранения и устойчивого использования биологического и ландшафтного разнообразия. </w:t>
      </w:r>
    </w:p>
    <w:p w:rsidR="001C5D03" w:rsidRPr="000C20ED" w:rsidRDefault="001C5D03" w:rsidP="001C5D03">
      <w:pPr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4624" behindDoc="0" locked="0" layoutInCell="1" allowOverlap="1" wp14:anchorId="06942064" wp14:editId="7BAB471C">
            <wp:simplePos x="0" y="0"/>
            <wp:positionH relativeFrom="column">
              <wp:posOffset>-89535</wp:posOffset>
            </wp:positionH>
            <wp:positionV relativeFrom="paragraph">
              <wp:posOffset>208915</wp:posOffset>
            </wp:positionV>
            <wp:extent cx="866775" cy="868680"/>
            <wp:effectExtent l="0" t="0" r="9525" b="7620"/>
            <wp:wrapSquare wrapText="bothSides"/>
            <wp:docPr id="17" name="Рисунок 17" descr="https://www.belstat.gov.by/upload-belstat/upload-belstat-image/SDG/16_peace_justice_strong_institu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belstat.gov.by/upload-belstat/upload-belstat-image/SDG/16_peace_justice_strong_institution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D03" w:rsidRPr="000C20ED" w:rsidRDefault="001C5D03" w:rsidP="001C5D03">
      <w:pPr>
        <w:tabs>
          <w:tab w:val="left" w:pos="1134"/>
        </w:tabs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16 МИР И </w:t>
      </w:r>
      <w:proofErr w:type="gramStart"/>
      <w:r w:rsidRPr="000C20ED">
        <w:rPr>
          <w:rFonts w:ascii="Times New Roman" w:hAnsi="Times New Roman"/>
          <w:sz w:val="30"/>
          <w:szCs w:val="30"/>
        </w:rPr>
        <w:t xml:space="preserve">ПРАВОСУДИЕ  </w:t>
      </w:r>
      <w:r>
        <w:rPr>
          <w:rFonts w:ascii="Times New Roman" w:hAnsi="Times New Roman"/>
          <w:sz w:val="30"/>
          <w:szCs w:val="30"/>
        </w:rPr>
        <w:t>–</w:t>
      </w:r>
      <w:proofErr w:type="gramEnd"/>
      <w:r w:rsidRPr="000C20ED">
        <w:rPr>
          <w:rFonts w:ascii="Times New Roman" w:hAnsi="Times New Roman"/>
          <w:sz w:val="30"/>
          <w:szCs w:val="30"/>
        </w:rPr>
        <w:t xml:space="preserve"> призывает к сокращению распространенности всех форм насилия, противодействию преступности, созданию необходимых условий для безопасной и активной жизни людей. В Беларуси поступательно реализуются меры, направленные на повышение эффективности работы по предупреждению насилия в семье, на совершенствование законодательства в данной сфере, функционирует система профилактики правонарушений, обеспечивается скоординированная деятельность государственных и общественных организаций в сфере противодействия преступности и коррупции. Противодействие насилию в любых проявлениях является необходимым условием для безопасной и активной жизни людей, свободного развития общества и экономики.</w:t>
      </w:r>
    </w:p>
    <w:p w:rsidR="001C5D03" w:rsidRPr="000C20ED" w:rsidRDefault="001C5D03" w:rsidP="001C5D03">
      <w:pPr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</w:p>
    <w:p w:rsidR="001C5D03" w:rsidRPr="000C20ED" w:rsidRDefault="001C5D03" w:rsidP="001C5D03">
      <w:pPr>
        <w:tabs>
          <w:tab w:val="left" w:pos="1134"/>
        </w:tabs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74D3F282" wp14:editId="020B5074">
            <wp:simplePos x="0" y="0"/>
            <wp:positionH relativeFrom="column">
              <wp:posOffset>-90805</wp:posOffset>
            </wp:positionH>
            <wp:positionV relativeFrom="paragraph">
              <wp:posOffset>9525</wp:posOffset>
            </wp:positionV>
            <wp:extent cx="923925" cy="925830"/>
            <wp:effectExtent l="0" t="0" r="9525" b="7620"/>
            <wp:wrapSquare wrapText="bothSides"/>
            <wp:docPr id="18" name="Рисунок 18" descr="https://www.belstat.gov.by/upload-belstat/upload-belstat-image/SDG/17_partnership_for_the_go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belstat.gov.by/upload-belstat/upload-belstat-image/SDG/17_partnership_for_the_goals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17 ПАРТНЕРСТВО В ИНТЕРЕСАХ УСТОЙЧИВОГО РАЗВИТИЯ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предусматривает укрепление глобальных партнерских связей для пропаганды и достижения амбициозных целей, поставленных в Повестке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2030, путем предоставления знаний, опыта, технологий и финансовых ресурсов. Для успешной реализации этой цели в Беларуси создаются условия для эффективного взаимодействия между правительством, частным сектором и гражданским обществом как на национальном, так и региональном уровне.</w:t>
      </w:r>
    </w:p>
    <w:p w:rsidR="001C5D03" w:rsidRPr="000C20ED" w:rsidRDefault="001C5D03" w:rsidP="001C5D03">
      <w:pPr>
        <w:spacing w:after="0" w:line="240" w:lineRule="auto"/>
        <w:ind w:left="-142"/>
        <w:jc w:val="center"/>
        <w:rPr>
          <w:rFonts w:ascii="Times New Roman" w:hAnsi="Times New Roman"/>
          <w:b/>
          <w:sz w:val="30"/>
          <w:szCs w:val="30"/>
        </w:rPr>
      </w:pPr>
    </w:p>
    <w:p w:rsidR="001C5D03" w:rsidRPr="000C20ED" w:rsidRDefault="001C5D03" w:rsidP="001C5D03">
      <w:pPr>
        <w:spacing w:after="0" w:line="240" w:lineRule="auto"/>
        <w:ind w:left="-142"/>
        <w:jc w:val="center"/>
        <w:rPr>
          <w:rFonts w:ascii="Times New Roman" w:hAnsi="Times New Roman"/>
          <w:b/>
          <w:sz w:val="30"/>
          <w:szCs w:val="30"/>
        </w:rPr>
      </w:pPr>
      <w:r w:rsidRPr="000C20ED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76672" behindDoc="0" locked="0" layoutInCell="1" allowOverlap="1" wp14:anchorId="071A22EC" wp14:editId="10BA74BB">
            <wp:simplePos x="0" y="0"/>
            <wp:positionH relativeFrom="column">
              <wp:posOffset>-33655</wp:posOffset>
            </wp:positionH>
            <wp:positionV relativeFrom="paragraph">
              <wp:posOffset>85725</wp:posOffset>
            </wp:positionV>
            <wp:extent cx="1019175" cy="1019175"/>
            <wp:effectExtent l="0" t="0" r="9525" b="9525"/>
            <wp:wrapSquare wrapText="bothSides"/>
            <wp:docPr id="19" name="Рисунок 19" descr="https://www.belstat.gov.by/upload-belstat/upload-belstat-image/SDG/18_bch_20_12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belstat.gov.by/upload-belstat/upload-belstat-image/SDG/18_bch_20_12_201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0ED">
        <w:rPr>
          <w:rFonts w:ascii="Times New Roman" w:hAnsi="Times New Roman"/>
          <w:b/>
          <w:sz w:val="30"/>
          <w:szCs w:val="30"/>
        </w:rPr>
        <w:t>Беларусь и Цели Устойчивого Развития.</w:t>
      </w:r>
    </w:p>
    <w:p w:rsidR="001C5D03" w:rsidRPr="000C20ED" w:rsidRDefault="001C5D03" w:rsidP="001C5D03">
      <w:pPr>
        <w:spacing w:after="0" w:line="240" w:lineRule="auto"/>
        <w:ind w:left="-142"/>
        <w:jc w:val="center"/>
        <w:rPr>
          <w:rFonts w:ascii="Times New Roman" w:hAnsi="Times New Roman"/>
          <w:sz w:val="30"/>
          <w:szCs w:val="30"/>
        </w:rPr>
      </w:pP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В сентябре 2015 года Республика Беларусь стала одной из 193 стран, выразивших приверженность Повестке дня в области устойчивого развития на период до 2030 года, и приняла обязательства обеспечивать устойчивый, всеохватный и поступательный экономический рост, социальную интеграцию и охрану окружающей среды, а также способствовать обеспечению мира и безопасности на планете. </w:t>
      </w:r>
    </w:p>
    <w:p w:rsidR="001C5D03" w:rsidRPr="000C20ED" w:rsidRDefault="001C5D03" w:rsidP="001C5D0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Для обеспечения всестороннего учета национальных реалий и приоритетов в процессе осуществления Повестки-2030, а также в целях учета комплексного и неделимого характера ЦУР и обеспечения сбалансированности всех трех компонентов устойчивого развития: экономического, социального и экологического, в Беларуси сформирован национальный координационный механизм. </w:t>
      </w:r>
    </w:p>
    <w:p w:rsidR="001C5D03" w:rsidRPr="000C20ED" w:rsidRDefault="001C5D03" w:rsidP="001C5D0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C20ED">
        <w:rPr>
          <w:rFonts w:ascii="Times New Roman" w:hAnsi="Times New Roman"/>
          <w:sz w:val="30"/>
          <w:szCs w:val="30"/>
        </w:rPr>
        <w:t xml:space="preserve">В числе институциональных инноваций – учреждение Президентом Республики Беларусь поста Национального координатора по вопросам достижения ЦУР, формирование под его руководством национального совета по устойчивому развитию. В настоящий момент эту почетную </w:t>
      </w:r>
      <w:proofErr w:type="gramStart"/>
      <w:r w:rsidRPr="000C20ED">
        <w:rPr>
          <w:rFonts w:ascii="Times New Roman" w:hAnsi="Times New Roman"/>
          <w:sz w:val="30"/>
          <w:szCs w:val="30"/>
        </w:rPr>
        <w:t>должность  занимает</w:t>
      </w:r>
      <w:proofErr w:type="gramEnd"/>
      <w:r w:rsidRPr="000C20ED">
        <w:rPr>
          <w:rFonts w:ascii="Times New Roman" w:hAnsi="Times New Roman"/>
          <w:sz w:val="30"/>
          <w:szCs w:val="30"/>
        </w:rPr>
        <w:t xml:space="preserve"> Бельский Валерий Иванович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</w:t>
      </w:r>
      <w:r w:rsidRPr="000C20ED">
        <w:rPr>
          <w:rFonts w:ascii="Times New Roman" w:hAnsi="Times New Roman"/>
          <w:sz w:val="30"/>
          <w:szCs w:val="30"/>
          <w:shd w:val="clear" w:color="auto" w:fill="FFFFFF"/>
        </w:rPr>
        <w:t>Заместитель Председателя Совета Республики Национального собрания Республики Беларусь.</w:t>
      </w:r>
    </w:p>
    <w:p w:rsidR="001C5D03" w:rsidRPr="000C20ED" w:rsidRDefault="001C5D03" w:rsidP="001C5D0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Деятельность совета, сформированного на уровне руководства             30 профильных органов государственного управления и регионов, позвол</w:t>
      </w:r>
      <w:r>
        <w:rPr>
          <w:rFonts w:ascii="Times New Roman" w:hAnsi="Times New Roman"/>
          <w:sz w:val="30"/>
          <w:szCs w:val="30"/>
        </w:rPr>
        <w:t>яе</w:t>
      </w:r>
      <w:r w:rsidRPr="000C20ED">
        <w:rPr>
          <w:rFonts w:ascii="Times New Roman" w:hAnsi="Times New Roman"/>
          <w:sz w:val="30"/>
          <w:szCs w:val="30"/>
        </w:rPr>
        <w:t>т закрепить ответственность за выполнение ЦУР за конкретными правительственными агентствами, созда</w:t>
      </w:r>
      <w:r>
        <w:rPr>
          <w:rFonts w:ascii="Times New Roman" w:hAnsi="Times New Roman"/>
          <w:sz w:val="30"/>
          <w:szCs w:val="30"/>
        </w:rPr>
        <w:t>е</w:t>
      </w:r>
      <w:r w:rsidRPr="000C20ED">
        <w:rPr>
          <w:rFonts w:ascii="Times New Roman" w:hAnsi="Times New Roman"/>
          <w:sz w:val="30"/>
          <w:szCs w:val="30"/>
        </w:rPr>
        <w:t xml:space="preserve">т платформу для </w:t>
      </w:r>
      <w:proofErr w:type="spellStart"/>
      <w:r w:rsidRPr="000C20ED">
        <w:rPr>
          <w:rFonts w:ascii="Times New Roman" w:hAnsi="Times New Roman"/>
          <w:sz w:val="30"/>
          <w:szCs w:val="30"/>
        </w:rPr>
        <w:t>межсекторального</w:t>
      </w:r>
      <w:proofErr w:type="spellEnd"/>
      <w:r w:rsidRPr="000C20ED">
        <w:rPr>
          <w:rFonts w:ascii="Times New Roman" w:hAnsi="Times New Roman"/>
          <w:sz w:val="30"/>
          <w:szCs w:val="30"/>
        </w:rPr>
        <w:t xml:space="preserve"> обмена и обсуждения прогресса выполнения ЦУР, позвол</w:t>
      </w:r>
      <w:r>
        <w:rPr>
          <w:rFonts w:ascii="Times New Roman" w:hAnsi="Times New Roman"/>
          <w:sz w:val="30"/>
          <w:szCs w:val="30"/>
        </w:rPr>
        <w:t>яе</w:t>
      </w:r>
      <w:r w:rsidRPr="000C20ED">
        <w:rPr>
          <w:rFonts w:ascii="Times New Roman" w:hAnsi="Times New Roman"/>
          <w:sz w:val="30"/>
          <w:szCs w:val="30"/>
        </w:rPr>
        <w:t>т эффективно решать задачи вертикальной и горизонтальной координации.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В Могилевской области распоряжением председателя облисполкома от 4 ноября 2017 г. № 189-р «О мерах по достижению Целей устойчивого развития» ответственным за реализацию Целей </w:t>
      </w:r>
      <w:r w:rsidRPr="000C20ED">
        <w:rPr>
          <w:rFonts w:ascii="Times New Roman" w:hAnsi="Times New Roman"/>
          <w:sz w:val="30"/>
          <w:szCs w:val="30"/>
        </w:rPr>
        <w:lastRenderedPageBreak/>
        <w:t xml:space="preserve">устойчивого развития определен заместитель председателя облисполкома </w:t>
      </w:r>
      <w:r w:rsidRPr="000C20ED">
        <w:rPr>
          <w:rFonts w:ascii="Times New Roman" w:hAnsi="Times New Roman"/>
          <w:i/>
          <w:sz w:val="30"/>
          <w:szCs w:val="30"/>
        </w:rPr>
        <w:t>(</w:t>
      </w:r>
      <w:proofErr w:type="spellStart"/>
      <w:r w:rsidRPr="000C20ED">
        <w:rPr>
          <w:rFonts w:ascii="Times New Roman" w:hAnsi="Times New Roman"/>
          <w:i/>
          <w:sz w:val="30"/>
          <w:szCs w:val="30"/>
        </w:rPr>
        <w:t>Страхар</w:t>
      </w:r>
      <w:proofErr w:type="spellEnd"/>
      <w:r w:rsidRPr="000C20ED">
        <w:rPr>
          <w:rFonts w:ascii="Times New Roman" w:hAnsi="Times New Roman"/>
          <w:i/>
          <w:sz w:val="30"/>
          <w:szCs w:val="30"/>
        </w:rPr>
        <w:t xml:space="preserve"> Р.Б.)</w:t>
      </w:r>
      <w:r w:rsidRPr="000C20ED">
        <w:rPr>
          <w:rFonts w:ascii="Times New Roman" w:hAnsi="Times New Roman"/>
          <w:sz w:val="30"/>
          <w:szCs w:val="30"/>
        </w:rPr>
        <w:t>, создана областная рабочая группа по устойчивому развитию.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Областной рабочей группой по устойчивому развитию было организовано широкое информирование по теме устойчивого развития (проведены семинары для рабочей группы, местных органов власти, СМИ, некоммерческих организаций) и организована разработка </w:t>
      </w:r>
      <w:r w:rsidRPr="000C20ED">
        <w:rPr>
          <w:rFonts w:ascii="Times New Roman" w:hAnsi="Times New Roman"/>
          <w:bCs/>
          <w:sz w:val="30"/>
          <w:szCs w:val="30"/>
        </w:rPr>
        <w:t xml:space="preserve">Стратегии устойчивого развития Могилевской области на период до </w:t>
      </w:r>
      <w:r>
        <w:rPr>
          <w:rFonts w:ascii="Times New Roman" w:hAnsi="Times New Roman"/>
          <w:bCs/>
          <w:sz w:val="30"/>
          <w:szCs w:val="30"/>
        </w:rPr>
        <w:t xml:space="preserve">  </w:t>
      </w:r>
      <w:r w:rsidRPr="000C20ED">
        <w:rPr>
          <w:rFonts w:ascii="Times New Roman" w:hAnsi="Times New Roman"/>
          <w:bCs/>
          <w:sz w:val="30"/>
          <w:szCs w:val="30"/>
        </w:rPr>
        <w:t xml:space="preserve">2035 года. Данный документ утвержден председателем облисполкома </w:t>
      </w:r>
      <w:r>
        <w:rPr>
          <w:rFonts w:ascii="Times New Roman" w:hAnsi="Times New Roman"/>
          <w:bCs/>
          <w:sz w:val="30"/>
          <w:szCs w:val="30"/>
        </w:rPr>
        <w:t xml:space="preserve">                </w:t>
      </w:r>
      <w:r w:rsidRPr="000C20ED">
        <w:rPr>
          <w:rFonts w:ascii="Times New Roman" w:hAnsi="Times New Roman"/>
          <w:bCs/>
          <w:sz w:val="30"/>
          <w:szCs w:val="30"/>
        </w:rPr>
        <w:t>31 декабря 2020 г. и предварительно получил одобрение Президиума областного Совета депутатов.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На областном уровне такой документ принят впервые, в нем отражено будущее региона к 2035 году таким, каким хотят его видеть жители сел и городов, молодежь и пенсионеры, предприниматели, организации и предприятия области. </w:t>
      </w:r>
    </w:p>
    <w:p w:rsidR="001C5D03" w:rsidRPr="000C20ED" w:rsidRDefault="001C5D03" w:rsidP="001C5D03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Было важно, чтобы в своей работе каждый видел не только свои ведомственные интересы, но понимал, как это скажется на интересах других. Для этого были учтены предложения экологов и представителей промышленных </w:t>
      </w:r>
      <w:proofErr w:type="gramStart"/>
      <w:r w:rsidRPr="000C20ED">
        <w:rPr>
          <w:rFonts w:ascii="Times New Roman" w:hAnsi="Times New Roman"/>
          <w:bCs/>
          <w:sz w:val="30"/>
          <w:szCs w:val="30"/>
        </w:rPr>
        <w:t>предприятий,  жителей</w:t>
      </w:r>
      <w:proofErr w:type="gramEnd"/>
      <w:r w:rsidRPr="000C20ED">
        <w:rPr>
          <w:rFonts w:ascii="Times New Roman" w:hAnsi="Times New Roman"/>
          <w:bCs/>
          <w:sz w:val="30"/>
          <w:szCs w:val="30"/>
        </w:rPr>
        <w:t xml:space="preserve"> крупных городов и представителей небольших по численности районов, общественных организаций и органов государственного управления, учителей, врачей, привлеченных международных экспертов. 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>По большому счету Стратегия – это документ, реализация которого влияет на жизнь каждого жителя Могилевщины. Но и успех в ее реализации также зависит от каждого. Поэтому абсолютно каждый может и должен внести свой вклад в реализацию планов развития области.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Стратегия – это долгосрочный план вложения инвестиций нынешнего поколения в уверенное будущее последующих поколений. Реализация Стратегии позволяет: 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• объединить граждан, бизнес, органы власти для совместной разработки и в последующем для совместного достижения желаемого будущего к 2035 году с учетом интересов каждой из сторон, каждого человека; 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• сконцентрировать усилия и ресурсы на ключевых направлениях, ускоряющих достижение областью устойчивого развития; 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• мобилизовать внутренние резервы и привлечь внешние ресурсы для развития области; 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>• сформировать позитивный имидж Могилевской области как территории с благоприятными экологией и бизнес-климатом, достойным качеством жизни, с развитым гражданским обществом и надлежащим управлением.</w:t>
      </w: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lastRenderedPageBreak/>
        <w:tab/>
      </w:r>
      <w:r w:rsidRPr="000C20ED">
        <w:rPr>
          <w:rFonts w:ascii="Times New Roman" w:hAnsi="Times New Roman"/>
          <w:sz w:val="30"/>
          <w:szCs w:val="30"/>
        </w:rPr>
        <w:t>В итоге собирательным образом, какой должна быть Могилевская область, стало:</w:t>
      </w:r>
    </w:p>
    <w:p w:rsidR="001C5D03" w:rsidRPr="000C20ED" w:rsidRDefault="001C5D03" w:rsidP="001C5D03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 w:rsidRPr="000C20ED">
        <w:rPr>
          <w:rFonts w:ascii="Times New Roman" w:hAnsi="Times New Roman"/>
          <w:b/>
          <w:bCs/>
          <w:i/>
          <w:sz w:val="30"/>
          <w:szCs w:val="30"/>
        </w:rPr>
        <w:t>Могилевская область с населением более 1 миллиона человек является устойчиво развивающимся регионом:</w:t>
      </w:r>
    </w:p>
    <w:p w:rsidR="001C5D03" w:rsidRPr="000C20ED" w:rsidRDefault="001C5D03" w:rsidP="001C5D03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proofErr w:type="gramStart"/>
      <w:r w:rsidRPr="000C20ED">
        <w:rPr>
          <w:rFonts w:ascii="Times New Roman" w:hAnsi="Times New Roman"/>
          <w:b/>
          <w:bCs/>
          <w:i/>
          <w:sz w:val="30"/>
          <w:szCs w:val="30"/>
        </w:rPr>
        <w:t>обладающим</w:t>
      </w:r>
      <w:proofErr w:type="gramEnd"/>
      <w:r w:rsidRPr="000C20ED">
        <w:rPr>
          <w:rFonts w:ascii="Times New Roman" w:hAnsi="Times New Roman"/>
          <w:b/>
          <w:bCs/>
          <w:i/>
          <w:sz w:val="30"/>
          <w:szCs w:val="30"/>
        </w:rPr>
        <w:t xml:space="preserve"> благоприятными и безопасными условиями для жизни, развития и самореализации граждан;</w:t>
      </w:r>
    </w:p>
    <w:p w:rsidR="001C5D03" w:rsidRPr="000C20ED" w:rsidRDefault="001C5D03" w:rsidP="001C5D03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proofErr w:type="gramStart"/>
      <w:r w:rsidRPr="000C20ED">
        <w:rPr>
          <w:rFonts w:ascii="Times New Roman" w:hAnsi="Times New Roman"/>
          <w:b/>
          <w:bCs/>
          <w:i/>
          <w:sz w:val="30"/>
          <w:szCs w:val="30"/>
        </w:rPr>
        <w:t>опирающимся</w:t>
      </w:r>
      <w:proofErr w:type="gramEnd"/>
      <w:r w:rsidRPr="000C20ED">
        <w:rPr>
          <w:rFonts w:ascii="Times New Roman" w:hAnsi="Times New Roman"/>
          <w:b/>
          <w:bCs/>
          <w:i/>
          <w:sz w:val="30"/>
          <w:szCs w:val="30"/>
        </w:rPr>
        <w:t xml:space="preserve"> на развитую диверсифицированную «зеленую» экономику, главными драйверами роста которой выступают </w:t>
      </w:r>
      <w:proofErr w:type="spellStart"/>
      <w:r w:rsidRPr="000C20ED">
        <w:rPr>
          <w:rFonts w:ascii="Times New Roman" w:hAnsi="Times New Roman"/>
          <w:b/>
          <w:bCs/>
          <w:i/>
          <w:sz w:val="30"/>
          <w:szCs w:val="30"/>
        </w:rPr>
        <w:t>экологизация</w:t>
      </w:r>
      <w:proofErr w:type="spellEnd"/>
      <w:r w:rsidRPr="000C20ED">
        <w:rPr>
          <w:rFonts w:ascii="Times New Roman" w:hAnsi="Times New Roman"/>
          <w:b/>
          <w:bCs/>
          <w:i/>
          <w:sz w:val="30"/>
          <w:szCs w:val="30"/>
        </w:rPr>
        <w:t xml:space="preserve"> и </w:t>
      </w:r>
      <w:proofErr w:type="spellStart"/>
      <w:r w:rsidRPr="000C20ED">
        <w:rPr>
          <w:rFonts w:ascii="Times New Roman" w:hAnsi="Times New Roman"/>
          <w:b/>
          <w:bCs/>
          <w:i/>
          <w:sz w:val="30"/>
          <w:szCs w:val="30"/>
        </w:rPr>
        <w:t>цифровизация</w:t>
      </w:r>
      <w:proofErr w:type="spellEnd"/>
      <w:r w:rsidRPr="000C20ED">
        <w:rPr>
          <w:rFonts w:ascii="Times New Roman" w:hAnsi="Times New Roman"/>
          <w:b/>
          <w:bCs/>
          <w:i/>
          <w:sz w:val="30"/>
          <w:szCs w:val="30"/>
        </w:rPr>
        <w:t>, рациональное использование местных сырьевых ресурсов и циркулярная экономика (основанная на возобновлении ресурсов);</w:t>
      </w:r>
    </w:p>
    <w:p w:rsidR="001C5D03" w:rsidRPr="000C20ED" w:rsidRDefault="001C5D03" w:rsidP="001C5D03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proofErr w:type="gramStart"/>
      <w:r w:rsidRPr="000C20ED">
        <w:rPr>
          <w:rFonts w:ascii="Times New Roman" w:hAnsi="Times New Roman"/>
          <w:b/>
          <w:bCs/>
          <w:i/>
          <w:sz w:val="30"/>
          <w:szCs w:val="30"/>
        </w:rPr>
        <w:t>характеризующимся</w:t>
      </w:r>
      <w:proofErr w:type="gramEnd"/>
      <w:r w:rsidRPr="000C20ED">
        <w:rPr>
          <w:rFonts w:ascii="Times New Roman" w:hAnsi="Times New Roman"/>
          <w:b/>
          <w:bCs/>
          <w:i/>
          <w:sz w:val="30"/>
          <w:szCs w:val="30"/>
        </w:rPr>
        <w:t xml:space="preserve"> интеллектуально развитым, гуманным, поликультурным, справедливым, толерантным, инклюзивным, гендерно равноправным и социально ответственным обществом, сохраняющим этнокультурную идентичность;</w:t>
      </w:r>
    </w:p>
    <w:p w:rsidR="001C5D03" w:rsidRPr="000C20ED" w:rsidRDefault="001C5D03" w:rsidP="001C5D03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proofErr w:type="gramStart"/>
      <w:r w:rsidRPr="000C20ED">
        <w:rPr>
          <w:rFonts w:ascii="Times New Roman" w:hAnsi="Times New Roman"/>
          <w:b/>
          <w:bCs/>
          <w:i/>
          <w:sz w:val="30"/>
          <w:szCs w:val="30"/>
        </w:rPr>
        <w:t>стремящимся</w:t>
      </w:r>
      <w:proofErr w:type="gramEnd"/>
      <w:r w:rsidRPr="000C20ED">
        <w:rPr>
          <w:rFonts w:ascii="Times New Roman" w:hAnsi="Times New Roman"/>
          <w:b/>
          <w:bCs/>
          <w:i/>
          <w:sz w:val="30"/>
          <w:szCs w:val="30"/>
        </w:rPr>
        <w:t xml:space="preserve"> к климатической нейтральности, минимизации воздействия на окружающую среду, сохранению природных ресурсов и биоразнообразия; 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proofErr w:type="gramStart"/>
      <w:r w:rsidRPr="000C20ED">
        <w:rPr>
          <w:rFonts w:ascii="Times New Roman" w:hAnsi="Times New Roman"/>
          <w:b/>
          <w:bCs/>
          <w:i/>
          <w:sz w:val="30"/>
          <w:szCs w:val="30"/>
        </w:rPr>
        <w:t>отличающимся</w:t>
      </w:r>
      <w:proofErr w:type="gramEnd"/>
      <w:r w:rsidRPr="000C20ED">
        <w:rPr>
          <w:rFonts w:ascii="Times New Roman" w:hAnsi="Times New Roman"/>
          <w:b/>
          <w:bCs/>
          <w:i/>
          <w:sz w:val="30"/>
          <w:szCs w:val="30"/>
        </w:rPr>
        <w:t xml:space="preserve"> системой вовлеченного управления развитием, учитывающей интересы всех слоев населения, всех уровней административно-территориального деления и населенных пунктов, входящих в состав Могилевской области.</w:t>
      </w:r>
    </w:p>
    <w:p w:rsidR="001C5D03" w:rsidRPr="000C20ED" w:rsidRDefault="001C5D03" w:rsidP="001C5D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Такое объемное и сложное видение невозможно реализовать, не разбив его много более мелких целей и задач и, что очень важно, не определив те численные индикаторы</w:t>
      </w:r>
      <w:r>
        <w:rPr>
          <w:rFonts w:ascii="Times New Roman" w:hAnsi="Times New Roman"/>
          <w:sz w:val="30"/>
          <w:szCs w:val="30"/>
        </w:rPr>
        <w:t>,</w:t>
      </w:r>
      <w:r w:rsidRPr="000C20ED">
        <w:rPr>
          <w:rFonts w:ascii="Times New Roman" w:hAnsi="Times New Roman"/>
          <w:sz w:val="30"/>
          <w:szCs w:val="30"/>
        </w:rPr>
        <w:t xml:space="preserve"> по которым можно будет оценивать успешность нашей работы. Все это реализовано в Стратегии.</w:t>
      </w:r>
    </w:p>
    <w:p w:rsidR="001C5D03" w:rsidRPr="000C20ED" w:rsidRDefault="001C5D03" w:rsidP="001C5D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Для того, что бы этот документ стал действительно работающим, в Стратегии предусмотрены три этапа его реализации: </w:t>
      </w:r>
    </w:p>
    <w:p w:rsidR="001C5D03" w:rsidRPr="000C20ED" w:rsidRDefault="001C5D03" w:rsidP="001C5D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i/>
          <w:sz w:val="30"/>
          <w:szCs w:val="30"/>
        </w:rPr>
        <w:t>Первый этап «Ориентация на будущие поколения</w:t>
      </w:r>
      <w:r w:rsidRPr="000C20ED">
        <w:rPr>
          <w:rFonts w:ascii="Times New Roman" w:hAnsi="Times New Roman"/>
          <w:sz w:val="30"/>
          <w:szCs w:val="30"/>
        </w:rPr>
        <w:t xml:space="preserve">» – с даты утверждения Стратегии по 2023 год. </w:t>
      </w:r>
    </w:p>
    <w:p w:rsidR="001C5D03" w:rsidRPr="000C20ED" w:rsidRDefault="001C5D03" w:rsidP="001C5D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Основная цель этапа – внедрение Стратегии в действующую систему планирования в качестве основного документа стратегического развития области и максимальное вовлечение населения и организаций.</w:t>
      </w:r>
    </w:p>
    <w:p w:rsidR="001C5D03" w:rsidRPr="000C20ED" w:rsidRDefault="001C5D03" w:rsidP="001C5D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i/>
          <w:sz w:val="30"/>
          <w:szCs w:val="30"/>
        </w:rPr>
        <w:t xml:space="preserve">Второй этап «Десятилетие перехода к устойчивому развитию» </w:t>
      </w:r>
      <w:r w:rsidRPr="000C20ED">
        <w:rPr>
          <w:rFonts w:ascii="Times New Roman" w:hAnsi="Times New Roman"/>
          <w:sz w:val="30"/>
          <w:szCs w:val="30"/>
        </w:rPr>
        <w:t xml:space="preserve">– 2024–2030 годы. </w:t>
      </w:r>
    </w:p>
    <w:p w:rsidR="001C5D03" w:rsidRPr="000C20ED" w:rsidRDefault="001C5D03" w:rsidP="001C5D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В течение этого периода основной упор будет сделан на структурное изменение отраслей. Будет осуществляться гармоничное развитие экономики при сохранении природных ресурсов, повсеместное внедрение научных достижений и информационных технологий, культурное преобразование общества и повышение имиджа сельских территорий для жизни. </w:t>
      </w:r>
    </w:p>
    <w:p w:rsidR="001C5D03" w:rsidRDefault="001C5D03" w:rsidP="001C5D03">
      <w:pPr>
        <w:spacing w:after="0" w:line="240" w:lineRule="auto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br w:type="page"/>
      </w:r>
    </w:p>
    <w:p w:rsidR="001C5D03" w:rsidRPr="000C20ED" w:rsidRDefault="001C5D03" w:rsidP="001C5D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i/>
          <w:sz w:val="30"/>
          <w:szCs w:val="30"/>
        </w:rPr>
        <w:lastRenderedPageBreak/>
        <w:t xml:space="preserve">Третий этап «Обеспечение устойчивости процессов развития Могилевской области» </w:t>
      </w:r>
      <w:r w:rsidRPr="000C20ED">
        <w:rPr>
          <w:rFonts w:ascii="Times New Roman" w:hAnsi="Times New Roman"/>
          <w:sz w:val="30"/>
          <w:szCs w:val="30"/>
        </w:rPr>
        <w:t xml:space="preserve">– 2031–2035 годы. </w:t>
      </w:r>
    </w:p>
    <w:p w:rsidR="001C5D03" w:rsidRPr="000C20ED" w:rsidRDefault="001C5D03" w:rsidP="001C5D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Основная цель этого этапа – это закрепление достигнутых темпов устойчивого развития Могилевской области, определение новых, инновационных подходов для будущего развития области. Необходимо будет сформировать новую Стратегию, учитывая опыт и уроки пройденных этапов.</w:t>
      </w:r>
    </w:p>
    <w:p w:rsidR="001C5D03" w:rsidRPr="000C20ED" w:rsidRDefault="001C5D03" w:rsidP="001C5D0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ab/>
        <w:t>Работа по реализации Стратегии выстроена на основании ежегодных Планов работы в области устойчивого развития, утверждаемых председателем облисполкома.</w:t>
      </w:r>
    </w:p>
    <w:p w:rsidR="001C5D03" w:rsidRPr="000C20ED" w:rsidRDefault="001C5D03" w:rsidP="001C5D0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В 2023 году завершается реализация Первого этапа Стратегии. 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В ходе данного этапа уже сделано немало важных шагов: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0C20ED">
        <w:rPr>
          <w:rFonts w:ascii="Times New Roman" w:hAnsi="Times New Roman"/>
          <w:sz w:val="30"/>
          <w:szCs w:val="30"/>
        </w:rPr>
        <w:t>в</w:t>
      </w:r>
      <w:proofErr w:type="gramEnd"/>
      <w:r w:rsidRPr="000C20ED">
        <w:rPr>
          <w:rFonts w:ascii="Times New Roman" w:hAnsi="Times New Roman"/>
          <w:sz w:val="30"/>
          <w:szCs w:val="30"/>
        </w:rPr>
        <w:t xml:space="preserve"> области сформировано понимание процессов устойчивого развития местной властью, Стратегия интегрирована в Планы развития городов и районов Могилевской области;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0C20ED">
        <w:rPr>
          <w:rFonts w:ascii="Times New Roman" w:hAnsi="Times New Roman"/>
          <w:sz w:val="30"/>
          <w:szCs w:val="30"/>
        </w:rPr>
        <w:t>для</w:t>
      </w:r>
      <w:proofErr w:type="gramEnd"/>
      <w:r w:rsidRPr="000C20ED">
        <w:rPr>
          <w:rFonts w:ascii="Times New Roman" w:hAnsi="Times New Roman"/>
          <w:sz w:val="30"/>
          <w:szCs w:val="30"/>
        </w:rPr>
        <w:t xml:space="preserve"> областной рабочей группы, местных органов власти, СМИ, некоммерческих организаций проведен ряд целевых мероприятий (ежегодно – более 170 встреч); 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0C20ED">
        <w:rPr>
          <w:rFonts w:ascii="Times New Roman" w:hAnsi="Times New Roman"/>
          <w:sz w:val="30"/>
          <w:szCs w:val="30"/>
        </w:rPr>
        <w:t>обеспечена</w:t>
      </w:r>
      <w:proofErr w:type="gramEnd"/>
      <w:r w:rsidRPr="000C20ED">
        <w:rPr>
          <w:rFonts w:ascii="Times New Roman" w:hAnsi="Times New Roman"/>
          <w:sz w:val="30"/>
          <w:szCs w:val="30"/>
        </w:rPr>
        <w:t xml:space="preserve"> максимальная публичность проводимой работы (за два года в мероприятиях приняло участие более 17 тысяч жителей области);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0C20ED">
        <w:rPr>
          <w:rFonts w:ascii="Times New Roman" w:hAnsi="Times New Roman"/>
          <w:sz w:val="30"/>
          <w:szCs w:val="30"/>
        </w:rPr>
        <w:t>вопросы</w:t>
      </w:r>
      <w:proofErr w:type="gramEnd"/>
      <w:r w:rsidRPr="000C20ED">
        <w:rPr>
          <w:rFonts w:ascii="Times New Roman" w:hAnsi="Times New Roman"/>
          <w:sz w:val="30"/>
          <w:szCs w:val="30"/>
        </w:rPr>
        <w:t xml:space="preserve"> реализации ЦУР включены в повестку Единых дней информирования, фактически это вовлечение всего экономически активного населения региона; 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0C20ED">
        <w:rPr>
          <w:rFonts w:ascii="Times New Roman" w:hAnsi="Times New Roman"/>
          <w:sz w:val="30"/>
          <w:szCs w:val="30"/>
        </w:rPr>
        <w:t>в</w:t>
      </w:r>
      <w:proofErr w:type="gramEnd"/>
      <w:r w:rsidRPr="000C20ED">
        <w:rPr>
          <w:rFonts w:ascii="Times New Roman" w:hAnsi="Times New Roman"/>
          <w:sz w:val="30"/>
          <w:szCs w:val="30"/>
        </w:rPr>
        <w:t xml:space="preserve"> обучающие программы учащихся высших и средних учебных заведений включаются вопросы по достижению ЦУР, внедрению и реализации Стратегии;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0C20ED">
        <w:rPr>
          <w:rFonts w:ascii="Times New Roman" w:hAnsi="Times New Roman"/>
          <w:sz w:val="30"/>
          <w:szCs w:val="30"/>
        </w:rPr>
        <w:t>сформирована</w:t>
      </w:r>
      <w:proofErr w:type="gramEnd"/>
      <w:r w:rsidRPr="000C20ED">
        <w:rPr>
          <w:rFonts w:ascii="Times New Roman" w:hAnsi="Times New Roman"/>
          <w:sz w:val="30"/>
          <w:szCs w:val="30"/>
        </w:rPr>
        <w:t xml:space="preserve"> сеть ресурсных центров в сфере образования по ЦУР (функционируют 25 опорных центров организации образовательных практик устойчивого развития Могилевской области);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proofErr w:type="gramStart"/>
      <w:r w:rsidRPr="000C20ED">
        <w:rPr>
          <w:rFonts w:ascii="Times New Roman" w:hAnsi="Times New Roman"/>
          <w:sz w:val="30"/>
          <w:szCs w:val="30"/>
        </w:rPr>
        <w:t>ведется</w:t>
      </w:r>
      <w:proofErr w:type="gramEnd"/>
      <w:r w:rsidRPr="000C20ED">
        <w:rPr>
          <w:rFonts w:ascii="Times New Roman" w:hAnsi="Times New Roman"/>
          <w:sz w:val="30"/>
          <w:szCs w:val="30"/>
        </w:rPr>
        <w:t xml:space="preserve"> повышение квалификации преподавателей на базе УО «Могилевский государственный областной институт развития образования» (за 2022 </w:t>
      </w:r>
      <w:r>
        <w:rPr>
          <w:rFonts w:ascii="Times New Roman" w:hAnsi="Times New Roman"/>
          <w:sz w:val="30"/>
          <w:szCs w:val="30"/>
        </w:rPr>
        <w:t xml:space="preserve">год </w:t>
      </w:r>
      <w:r w:rsidRPr="000C20ED">
        <w:rPr>
          <w:rFonts w:ascii="Times New Roman" w:hAnsi="Times New Roman"/>
          <w:sz w:val="30"/>
          <w:szCs w:val="30"/>
        </w:rPr>
        <w:t xml:space="preserve">прошло обучение 2800 педагогических работников области). </w:t>
      </w:r>
      <w:r w:rsidRPr="000C20ED">
        <w:rPr>
          <w:rFonts w:ascii="Times New Roman" w:hAnsi="Times New Roman"/>
          <w:bCs/>
          <w:sz w:val="30"/>
          <w:szCs w:val="30"/>
          <w:shd w:val="clear" w:color="auto" w:fill="FFFFFF"/>
        </w:rPr>
        <w:t>5 мая 2023 года</w:t>
      </w:r>
      <w:r w:rsidRPr="000C20ED">
        <w:rPr>
          <w:rFonts w:ascii="Times New Roman" w:hAnsi="Times New Roman"/>
          <w:sz w:val="30"/>
          <w:szCs w:val="30"/>
        </w:rPr>
        <w:t xml:space="preserve"> на базе МГОИРО проведен </w:t>
      </w:r>
      <w:r w:rsidRPr="000C20ED">
        <w:rPr>
          <w:rFonts w:ascii="Times New Roman" w:hAnsi="Times New Roman"/>
          <w:bCs/>
          <w:sz w:val="30"/>
          <w:szCs w:val="30"/>
          <w:shd w:val="clear" w:color="auto" w:fill="FFFFFF"/>
        </w:rPr>
        <w:t>VII Методический фестиваль для педагогических работников учреждений образования по теме «Инновации в образовании Могилевской области в интересах реализации стратегии устойчивого развития»</w:t>
      </w:r>
      <w:r w:rsidRPr="000C20ED">
        <w:rPr>
          <w:rFonts w:ascii="Times New Roman" w:hAnsi="Times New Roman"/>
          <w:sz w:val="30"/>
          <w:szCs w:val="30"/>
          <w:shd w:val="clear" w:color="auto" w:fill="FFFFFF"/>
        </w:rPr>
        <w:t>;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0C20ED">
        <w:rPr>
          <w:rFonts w:ascii="Times New Roman" w:hAnsi="Times New Roman"/>
          <w:sz w:val="30"/>
          <w:szCs w:val="30"/>
        </w:rPr>
        <w:t>с</w:t>
      </w:r>
      <w:proofErr w:type="gramEnd"/>
      <w:r w:rsidRPr="000C20ED">
        <w:rPr>
          <w:rFonts w:ascii="Times New Roman" w:hAnsi="Times New Roman"/>
          <w:sz w:val="30"/>
          <w:szCs w:val="30"/>
        </w:rPr>
        <w:t xml:space="preserve"> февраля т</w:t>
      </w:r>
      <w:r>
        <w:rPr>
          <w:rFonts w:ascii="Times New Roman" w:hAnsi="Times New Roman"/>
          <w:sz w:val="30"/>
          <w:szCs w:val="30"/>
        </w:rPr>
        <w:t>екуще</w:t>
      </w:r>
      <w:r w:rsidRPr="000C20ED">
        <w:rPr>
          <w:rFonts w:ascii="Times New Roman" w:hAnsi="Times New Roman"/>
          <w:sz w:val="30"/>
          <w:szCs w:val="30"/>
        </w:rPr>
        <w:t xml:space="preserve">го года уже на платной основе в </w:t>
      </w:r>
      <w:r>
        <w:rPr>
          <w:rFonts w:ascii="Times New Roman" w:hAnsi="Times New Roman"/>
          <w:sz w:val="30"/>
          <w:szCs w:val="30"/>
        </w:rPr>
        <w:t xml:space="preserve">УО «Могилевский государственный </w:t>
      </w:r>
      <w:r w:rsidRPr="000C20ED">
        <w:rPr>
          <w:rFonts w:ascii="Times New Roman" w:hAnsi="Times New Roman"/>
          <w:sz w:val="30"/>
          <w:szCs w:val="30"/>
        </w:rPr>
        <w:t xml:space="preserve">университет имени </w:t>
      </w:r>
      <w:proofErr w:type="spellStart"/>
      <w:r>
        <w:rPr>
          <w:rFonts w:ascii="Times New Roman" w:hAnsi="Times New Roman"/>
          <w:sz w:val="30"/>
          <w:szCs w:val="30"/>
        </w:rPr>
        <w:t>А.А.</w:t>
      </w:r>
      <w:r w:rsidRPr="000C20ED">
        <w:rPr>
          <w:rFonts w:ascii="Times New Roman" w:hAnsi="Times New Roman"/>
          <w:sz w:val="30"/>
          <w:szCs w:val="30"/>
        </w:rPr>
        <w:t>Кулешова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Pr="000C20ED">
        <w:rPr>
          <w:rFonts w:ascii="Times New Roman" w:hAnsi="Times New Roman"/>
          <w:sz w:val="30"/>
          <w:szCs w:val="30"/>
        </w:rPr>
        <w:t xml:space="preserve"> ведется подготовка специалистов по тематике устойчивого развития;</w:t>
      </w:r>
    </w:p>
    <w:p w:rsidR="001C5D03" w:rsidRPr="000C20ED" w:rsidRDefault="001C5D03" w:rsidP="001C5D0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proofErr w:type="gramEnd"/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 xml:space="preserve"> целях информирования широкого круга заинтересованных о возможности участия в мероприятиях, проводимых в области, </w:t>
      </w: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сформирован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и размещен на сайте облисполкома к</w:t>
      </w:r>
      <w:r w:rsidRPr="000C20ED">
        <w:rPr>
          <w:rFonts w:ascii="Times New Roman" w:eastAsia="Times New Roman" w:hAnsi="Times New Roman"/>
          <w:bCs/>
          <w:sz w:val="30"/>
          <w:szCs w:val="30"/>
          <w:lang w:eastAsia="ru-RU"/>
        </w:rPr>
        <w:t>алендарный план основных мероприятий по реализации Стратегии устойчивого развития Могилевской области на период до 2035 года и План работы в области устойчивого развития на 2023 год, утвержденн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ый</w:t>
      </w:r>
      <w:r w:rsidRPr="000C20E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председателем Могилевского облисполкома </w:t>
      </w:r>
      <w:proofErr w:type="spellStart"/>
      <w:r w:rsidRPr="000C20ED">
        <w:rPr>
          <w:rFonts w:ascii="Times New Roman" w:eastAsia="Times New Roman" w:hAnsi="Times New Roman"/>
          <w:bCs/>
          <w:sz w:val="30"/>
          <w:szCs w:val="30"/>
          <w:lang w:eastAsia="ru-RU"/>
        </w:rPr>
        <w:t>А.М.Исаченко</w:t>
      </w:r>
      <w:proofErr w:type="spellEnd"/>
      <w:r w:rsidRPr="000C20E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6 января 2023 г.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В регионах области активно реализуются местные инициативы. Здесь флагманом является Славгород, которым реализовано несколько крупных проектов международной технической помощи.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Сегодня мы научились работать не только с внешними ресурсами, но и использовать местные источники финансирования, направлять их на поддержку наиболее значимых для регионов инициатив.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C20ED">
        <w:rPr>
          <w:rFonts w:ascii="Times New Roman" w:hAnsi="Times New Roman"/>
          <w:sz w:val="30"/>
          <w:szCs w:val="30"/>
        </w:rPr>
        <w:t xml:space="preserve">Очень продуктивно в этом направлении работает </w:t>
      </w:r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Могилевская областная ассоциация местных Советов депутатов, которая с 2019 года (за 4 года) на принципах </w:t>
      </w:r>
      <w:proofErr w:type="spellStart"/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>софинансирования</w:t>
      </w:r>
      <w:proofErr w:type="spellEnd"/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смогла поддержать </w:t>
      </w:r>
      <w:proofErr w:type="gramStart"/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>более  175</w:t>
      </w:r>
      <w:proofErr w:type="gramEnd"/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инициатив на сумму более 320 тысяч рублей.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>Многие инициативы реализуются организациями и гражданами вообще без какой-либо финансовой поддержки извне.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Об этом свидетельствует активность, проявленная в ходе проведения конкурсов местных инициатив. Такие конкурсы начали проводиться облисполкомом в рамках реализации областной Стратегии: в 2021 году поступило 44 инициативы, в 2022 году 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–</w:t>
      </w:r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30 инициатив. При этом, по условиям конкурса, его победителям денежные награды не присуждаются. Они получают дипломы и информационную поддержку.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>Важным является и то, что в процессы достижения ЦУР включаются не только граждане, но и целые организации: 6</w:t>
      </w:r>
      <w:r w:rsidRPr="000C20ED">
        <w:rPr>
          <w:rFonts w:ascii="Times New Roman" w:hAnsi="Times New Roman"/>
          <w:sz w:val="30"/>
          <w:szCs w:val="30"/>
        </w:rPr>
        <w:t xml:space="preserve"> организаций Могилевской области уже подписали декларации о присоединении к достижению Целей устойчивого развития</w:t>
      </w:r>
      <w:r w:rsidRPr="000C20ED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  <w:shd w:val="clear" w:color="auto" w:fill="FFFFFF"/>
        </w:rPr>
        <w:t xml:space="preserve">Совсем недавно к этому процессу с конкретной программой действий присоединился </w:t>
      </w:r>
      <w:r>
        <w:rPr>
          <w:rFonts w:ascii="Times New Roman" w:hAnsi="Times New Roman"/>
          <w:sz w:val="30"/>
          <w:szCs w:val="30"/>
          <w:shd w:val="clear" w:color="auto" w:fill="FFFFFF"/>
        </w:rPr>
        <w:t>МО УВО «</w:t>
      </w:r>
      <w:r w:rsidRPr="000C20ED">
        <w:rPr>
          <w:rFonts w:ascii="Times New Roman" w:hAnsi="Times New Roman"/>
          <w:sz w:val="30"/>
          <w:szCs w:val="30"/>
          <w:shd w:val="clear" w:color="auto" w:fill="FFFFFF"/>
        </w:rPr>
        <w:t>Белорусско-Российский университет</w:t>
      </w:r>
      <w:r>
        <w:rPr>
          <w:rFonts w:ascii="Times New Roman" w:hAnsi="Times New Roman"/>
          <w:sz w:val="30"/>
          <w:szCs w:val="30"/>
          <w:shd w:val="clear" w:color="auto" w:fill="FFFFFF"/>
        </w:rPr>
        <w:t>»</w:t>
      </w:r>
      <w:r w:rsidRPr="000C20ED">
        <w:rPr>
          <w:rFonts w:ascii="Times New Roman" w:hAnsi="Times New Roman"/>
          <w:sz w:val="30"/>
          <w:szCs w:val="30"/>
          <w:shd w:val="clear" w:color="auto" w:fill="FFFFFF"/>
        </w:rPr>
        <w:t xml:space="preserve"> – в структуре университета создан</w:t>
      </w:r>
      <w:r w:rsidRPr="000C20ED">
        <w:rPr>
          <w:rFonts w:ascii="Times New Roman" w:hAnsi="Times New Roman"/>
          <w:bCs/>
          <w:sz w:val="30"/>
          <w:szCs w:val="30"/>
        </w:rPr>
        <w:t xml:space="preserve"> Международный научно-образовательный центр по устойчивому развитию, зеленой экономике и информатизации.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 xml:space="preserve">На </w:t>
      </w:r>
      <w:proofErr w:type="spellStart"/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страновом</w:t>
      </w:r>
      <w:proofErr w:type="spellEnd"/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 xml:space="preserve"> уровне начата реализация проекта </w:t>
      </w:r>
      <w:r w:rsidRPr="000C20E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международной технической помощи «Поддержка усилий Республики Беларусь в национализации и локализации Целей устойчивого развития», </w:t>
      </w:r>
      <w:proofErr w:type="gramStart"/>
      <w:r w:rsidRPr="000C20E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который  </w:t>
      </w: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одобрен</w:t>
      </w:r>
      <w:proofErr w:type="gramEnd"/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 xml:space="preserve"> постановлением Совета Министров Республики Беларусь от                  27 декабря 2022 г. № 918.</w:t>
      </w:r>
    </w:p>
    <w:p w:rsidR="001C5D03" w:rsidRPr="000C20ED" w:rsidRDefault="001C5D03" w:rsidP="001C5D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Многое еще предстоит сделать. Мы находимся в начале пути, очень важно объяснить жителям области, что такое Цели устойчивого развития. Понять всем, что в своей жизни и работе мы уже делаем многое для их достижения. Но очень важно свои действия соизмерять с интересами других. </w:t>
      </w:r>
    </w:p>
    <w:p w:rsidR="001C5D03" w:rsidRPr="000C20ED" w:rsidRDefault="001C5D03" w:rsidP="001C5D0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lastRenderedPageBreak/>
        <w:t xml:space="preserve">Мы строим предприятия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это создает рабочие места и увеличивает поступления налогов, но важно, чтобы технологии соответствовали экологическим требованиям и служили основой для будущего развития. </w:t>
      </w:r>
    </w:p>
    <w:p w:rsidR="001C5D03" w:rsidRPr="000C20ED" w:rsidRDefault="001C5D03" w:rsidP="001C5D0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Мы учим детей – но важно понимать, кем они станут, когда        вырастут, какие специальности будут востребованы, заложить в них бережное и уважительное отношение к природе.</w:t>
      </w:r>
    </w:p>
    <w:p w:rsidR="001C5D03" w:rsidRPr="000C20ED" w:rsidRDefault="001C5D03" w:rsidP="001C5D0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Особая миссия – это осознание в каждом городе и районе, на предприятии и в организации, что для них самое актуальное и что они могут сделать. Каждый человек, каждое мнение важно и может внести свой уникальный вклад в общее дело. </w:t>
      </w:r>
    </w:p>
    <w:p w:rsidR="001C5D03" w:rsidRDefault="001C5D03" w:rsidP="001C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C5D03" w:rsidRDefault="001C5D03" w:rsidP="001C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C5D03" w:rsidRDefault="001C5D03" w:rsidP="001C5D03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>Материал подготовлен</w:t>
      </w:r>
      <w:r>
        <w:rPr>
          <w:bCs/>
          <w:i/>
          <w:sz w:val="30"/>
          <w:szCs w:val="30"/>
        </w:rPr>
        <w:t xml:space="preserve"> </w:t>
      </w:r>
    </w:p>
    <w:p w:rsidR="001C5D03" w:rsidRDefault="001C5D03" w:rsidP="001C5D03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proofErr w:type="gramStart"/>
      <w:r>
        <w:rPr>
          <w:bCs/>
          <w:i/>
          <w:sz w:val="30"/>
          <w:szCs w:val="30"/>
        </w:rPr>
        <w:t>комитетом</w:t>
      </w:r>
      <w:proofErr w:type="gramEnd"/>
      <w:r>
        <w:rPr>
          <w:bCs/>
          <w:i/>
          <w:sz w:val="30"/>
          <w:szCs w:val="30"/>
        </w:rPr>
        <w:t xml:space="preserve"> экономики </w:t>
      </w:r>
    </w:p>
    <w:p w:rsidR="001C5D03" w:rsidRPr="00F350E4" w:rsidRDefault="001C5D03" w:rsidP="001C5D03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>Могилевского облисполкома</w:t>
      </w:r>
    </w:p>
    <w:p w:rsidR="001C5D03" w:rsidRDefault="001C5D03" w:rsidP="001C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C0FE5" w:rsidRDefault="00FC0FE5">
      <w:bookmarkStart w:id="0" w:name="_GoBack"/>
      <w:bookmarkEnd w:id="0"/>
    </w:p>
    <w:sectPr w:rsidR="00FC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03"/>
    <w:rsid w:val="001C5D03"/>
    <w:rsid w:val="00FC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9F76C-F942-403D-A314-C8993680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5D03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C5D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2023-07-14T14:03:00Z</dcterms:created>
  <dcterms:modified xsi:type="dcterms:W3CDTF">2023-07-14T14:03:00Z</dcterms:modified>
</cp:coreProperties>
</file>