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301" w:rsidRPr="0070777B" w:rsidRDefault="00101301" w:rsidP="0010130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t>Основные изменения, внесенные в Налоговый кодекс Республики Беларусь с 1 января 2024 года</w:t>
      </w:r>
    </w:p>
    <w:p w:rsidR="00101301" w:rsidRPr="0070777B" w:rsidRDefault="00101301" w:rsidP="00101301">
      <w:pPr>
        <w:tabs>
          <w:tab w:val="left" w:pos="0"/>
          <w:tab w:val="left" w:pos="851"/>
          <w:tab w:val="left" w:pos="993"/>
        </w:tabs>
        <w:autoSpaceDE w:val="0"/>
        <w:autoSpaceDN w:val="0"/>
        <w:adjustRightInd w:val="0"/>
        <w:spacing w:after="0" w:line="240" w:lineRule="auto"/>
        <w:jc w:val="center"/>
        <w:rPr>
          <w:rFonts w:cs="Times New Roman"/>
          <w:bCs/>
          <w:i/>
          <w:iCs/>
          <w:sz w:val="20"/>
          <w:szCs w:val="20"/>
        </w:rPr>
      </w:pPr>
      <w:proofErr w:type="gramStart"/>
      <w:r w:rsidRPr="0070777B">
        <w:rPr>
          <w:rFonts w:cs="Times New Roman"/>
          <w:bCs/>
          <w:i/>
          <w:iCs/>
          <w:sz w:val="20"/>
          <w:szCs w:val="20"/>
        </w:rPr>
        <w:t>по</w:t>
      </w:r>
      <w:proofErr w:type="gramEnd"/>
      <w:r w:rsidRPr="0070777B">
        <w:rPr>
          <w:rFonts w:cs="Times New Roman"/>
          <w:bCs/>
          <w:i/>
          <w:iCs/>
          <w:sz w:val="20"/>
          <w:szCs w:val="20"/>
        </w:rPr>
        <w:t xml:space="preserve"> материалам Могилевской областной инспекции Министерства по налогам и сборам Республики Беларусь</w:t>
      </w:r>
    </w:p>
    <w:p w:rsidR="00101301" w:rsidRPr="0070777B" w:rsidRDefault="00101301" w:rsidP="00101301">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101301" w:rsidRPr="0070777B" w:rsidRDefault="00101301" w:rsidP="00101301">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101301" w:rsidRPr="0070777B" w:rsidRDefault="00101301" w:rsidP="00101301">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101301" w:rsidRPr="0070777B" w:rsidRDefault="00101301" w:rsidP="0010130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101301" w:rsidRPr="0070777B" w:rsidRDefault="00101301" w:rsidP="0010130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101301" w:rsidRPr="0070777B" w:rsidRDefault="00101301" w:rsidP="00101301">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101301" w:rsidRPr="0070777B" w:rsidRDefault="00101301" w:rsidP="00101301">
      <w:pPr>
        <w:tabs>
          <w:tab w:val="left" w:pos="0"/>
        </w:tabs>
        <w:spacing w:after="0" w:line="240" w:lineRule="auto"/>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101301" w:rsidRPr="0070777B" w:rsidRDefault="00101301" w:rsidP="00101301">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101301" w:rsidRPr="0070777B" w:rsidRDefault="00101301" w:rsidP="00101301">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101301" w:rsidRPr="0070777B" w:rsidRDefault="00101301" w:rsidP="00101301">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101301" w:rsidRPr="0070777B" w:rsidRDefault="00101301" w:rsidP="00101301">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101301" w:rsidRPr="0070777B" w:rsidRDefault="00101301" w:rsidP="0010130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w:t>
      </w:r>
      <w:r w:rsidRPr="0070777B">
        <w:rPr>
          <w:rStyle w:val="word-wrapper"/>
          <w:rFonts w:cs="Times New Roman"/>
          <w:szCs w:val="28"/>
          <w:bdr w:val="none" w:sz="0" w:space="0" w:color="auto" w:frame="1"/>
        </w:rPr>
        <w:lastRenderedPageBreak/>
        <w:t xml:space="preserve">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101301" w:rsidRPr="0070777B" w:rsidRDefault="00101301" w:rsidP="0010130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101301" w:rsidRDefault="00101301" w:rsidP="0010130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 xml:space="preserve">Кроме того, налоговые органы активно развивают сервисную составляющую электронного обмена информацией, в том числе расширяется сфера применения </w:t>
      </w:r>
      <w:proofErr w:type="spellStart"/>
      <w:r w:rsidRPr="0070777B">
        <w:rPr>
          <w:rFonts w:cs="Times New Roman"/>
          <w:i/>
          <w:szCs w:val="28"/>
        </w:rPr>
        <w:t>префайлинга</w:t>
      </w:r>
      <w:proofErr w:type="spellEnd"/>
      <w:r w:rsidRPr="0070777B">
        <w:rPr>
          <w:rFonts w:cs="Times New Roman"/>
          <w:i/>
          <w:szCs w:val="28"/>
        </w:rPr>
        <w:t xml:space="preserve"> налоговых деклараций (предварительное заполнение налоговых деклараций плательщика, исходя из данных, имеющихся в налоговых органах).</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i/>
          <w:szCs w:val="28"/>
        </w:rPr>
      </w:pPr>
      <w:bookmarkStart w:id="0" w:name="_GoBack"/>
      <w:bookmarkEnd w:id="0"/>
    </w:p>
    <w:p w:rsidR="00101301" w:rsidRPr="0070777B" w:rsidRDefault="00101301" w:rsidP="00101301">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101301" w:rsidRPr="0070777B" w:rsidRDefault="00101301" w:rsidP="00101301">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101301" w:rsidRPr="0070777B" w:rsidRDefault="00101301" w:rsidP="00101301">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101301" w:rsidRDefault="00101301" w:rsidP="00101301">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101301" w:rsidRPr="0070777B" w:rsidRDefault="00101301" w:rsidP="00101301">
      <w:pPr>
        <w:tabs>
          <w:tab w:val="left" w:pos="0"/>
        </w:tabs>
        <w:spacing w:after="0" w:line="240" w:lineRule="auto"/>
        <w:ind w:firstLine="567"/>
        <w:jc w:val="both"/>
        <w:rPr>
          <w:rFonts w:cs="Times New Roman"/>
          <w:i/>
          <w:szCs w:val="28"/>
        </w:rPr>
      </w:pPr>
    </w:p>
    <w:p w:rsidR="00101301" w:rsidRPr="0070777B" w:rsidRDefault="00101301" w:rsidP="00101301">
      <w:pPr>
        <w:pStyle w:val="a4"/>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тысяч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lastRenderedPageBreak/>
        <w:t>Предпринимательская деятельность, осуществляемая гражданином с нарушением вышеуказанных требований, является незаконной.</w:t>
      </w:r>
    </w:p>
    <w:p w:rsidR="00101301" w:rsidRPr="0070777B" w:rsidRDefault="00101301" w:rsidP="00101301">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101301" w:rsidRPr="0070777B" w:rsidRDefault="00101301" w:rsidP="00101301">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101301" w:rsidRPr="0070777B" w:rsidRDefault="00101301" w:rsidP="00101301">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101301" w:rsidRPr="0070777B" w:rsidRDefault="00101301" w:rsidP="00101301">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101301" w:rsidRPr="0070777B" w:rsidRDefault="00101301" w:rsidP="00101301">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101301" w:rsidRPr="0070777B" w:rsidRDefault="00101301" w:rsidP="00101301">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101301" w:rsidRPr="0070777B" w:rsidRDefault="00101301" w:rsidP="00101301">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101301"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w:t>
      </w:r>
      <w:proofErr w:type="spellStart"/>
      <w:r w:rsidRPr="0070777B">
        <w:rPr>
          <w:rFonts w:ascii="Times New Roman" w:hAnsi="Times New Roman" w:cs="Times New Roman"/>
          <w:sz w:val="28"/>
          <w:szCs w:val="28"/>
        </w:rPr>
        <w:t>нетабачные</w:t>
      </w:r>
      <w:proofErr w:type="spellEnd"/>
      <w:r w:rsidRPr="0070777B">
        <w:rPr>
          <w:rFonts w:ascii="Times New Roman" w:hAnsi="Times New Roman" w:cs="Times New Roman"/>
          <w:sz w:val="28"/>
          <w:szCs w:val="28"/>
        </w:rPr>
        <w:t xml:space="preserve"> </w:t>
      </w:r>
      <w:proofErr w:type="spellStart"/>
      <w:r w:rsidRPr="0070777B">
        <w:rPr>
          <w:rFonts w:ascii="Times New Roman" w:hAnsi="Times New Roman" w:cs="Times New Roman"/>
          <w:sz w:val="28"/>
          <w:szCs w:val="28"/>
        </w:rPr>
        <w:t>никотиносодержащие</w:t>
      </w:r>
      <w:proofErr w:type="spellEnd"/>
      <w:r w:rsidRPr="0070777B">
        <w:rPr>
          <w:rFonts w:ascii="Times New Roman" w:hAnsi="Times New Roman" w:cs="Times New Roman"/>
          <w:sz w:val="28"/>
          <w:szCs w:val="28"/>
        </w:rPr>
        <w:t xml:space="preserve"> изделия, электронные системы курения и жидкости для электронных систем курения.</w:t>
      </w:r>
    </w:p>
    <w:p w:rsidR="00101301" w:rsidRDefault="00101301" w:rsidP="00101301">
      <w:pPr>
        <w:pStyle w:val="Arial"/>
        <w:tabs>
          <w:tab w:val="left" w:pos="0"/>
        </w:tabs>
        <w:ind w:firstLine="567"/>
        <w:rPr>
          <w:rFonts w:ascii="Times New Roman" w:hAnsi="Times New Roman" w:cs="Times New Roman"/>
          <w:sz w:val="28"/>
          <w:szCs w:val="28"/>
        </w:rPr>
      </w:pPr>
    </w:p>
    <w:p w:rsidR="00101301" w:rsidRDefault="00101301" w:rsidP="00101301">
      <w:pPr>
        <w:pStyle w:val="Arial"/>
        <w:tabs>
          <w:tab w:val="left" w:pos="0"/>
        </w:tabs>
        <w:ind w:firstLine="567"/>
        <w:rPr>
          <w:rFonts w:ascii="Times New Roman" w:hAnsi="Times New Roman" w:cs="Times New Roman"/>
          <w:sz w:val="28"/>
          <w:szCs w:val="28"/>
        </w:rPr>
      </w:pPr>
    </w:p>
    <w:p w:rsidR="00101301" w:rsidRPr="0070777B" w:rsidRDefault="00101301" w:rsidP="00101301">
      <w:pPr>
        <w:pStyle w:val="Arial"/>
        <w:tabs>
          <w:tab w:val="left" w:pos="0"/>
        </w:tabs>
        <w:ind w:firstLine="567"/>
        <w:rPr>
          <w:rFonts w:ascii="Times New Roman" w:hAnsi="Times New Roman" w:cs="Times New Roman"/>
          <w:sz w:val="28"/>
          <w:szCs w:val="28"/>
        </w:rPr>
      </w:pPr>
    </w:p>
    <w:p w:rsidR="00101301" w:rsidRPr="0070777B" w:rsidRDefault="00101301" w:rsidP="00101301">
      <w:pPr>
        <w:tabs>
          <w:tab w:val="left" w:pos="0"/>
        </w:tabs>
        <w:spacing w:after="0" w:line="240" w:lineRule="auto"/>
        <w:jc w:val="center"/>
        <w:rPr>
          <w:rFonts w:cs="Times New Roman"/>
          <w:b/>
          <w:iCs/>
          <w:szCs w:val="28"/>
        </w:rPr>
      </w:pPr>
      <w:r w:rsidRPr="0070777B">
        <w:rPr>
          <w:rFonts w:cs="Times New Roman"/>
          <w:b/>
          <w:iCs/>
          <w:szCs w:val="28"/>
        </w:rPr>
        <w:t>Изменения в части налогообложения физических лиц</w:t>
      </w:r>
    </w:p>
    <w:p w:rsidR="00101301" w:rsidRPr="0070777B" w:rsidRDefault="00101301" w:rsidP="00101301">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101301" w:rsidRPr="0070777B" w:rsidRDefault="00101301" w:rsidP="00101301">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101301" w:rsidRPr="0070777B" w:rsidRDefault="00101301" w:rsidP="00101301">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101301" w:rsidRPr="0070777B" w:rsidRDefault="00101301" w:rsidP="00101301">
      <w:pPr>
        <w:pStyle w:val="a4"/>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101301" w:rsidRPr="0070777B" w:rsidRDefault="00101301" w:rsidP="00101301">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101301" w:rsidRPr="0070777B" w:rsidRDefault="00101301" w:rsidP="00101301">
      <w:pPr>
        <w:pStyle w:val="Arial0"/>
        <w:tabs>
          <w:tab w:val="left" w:pos="0"/>
        </w:tabs>
        <w:ind w:firstLine="567"/>
        <w:rPr>
          <w:rFonts w:ascii="Times New Roman" w:hAnsi="Times New Roman"/>
          <w:b w:val="0"/>
          <w:bCs/>
          <w:i/>
          <w:iCs/>
          <w:sz w:val="28"/>
          <w:szCs w:val="28"/>
        </w:rPr>
      </w:pPr>
      <w:proofErr w:type="spellStart"/>
      <w:r w:rsidRPr="0070777B">
        <w:rPr>
          <w:rFonts w:ascii="Times New Roman" w:hAnsi="Times New Roman"/>
          <w:i/>
          <w:iCs/>
          <w:sz w:val="28"/>
          <w:szCs w:val="28"/>
        </w:rPr>
        <w:t>Справочно</w:t>
      </w:r>
      <w:proofErr w:type="spellEnd"/>
      <w:r w:rsidRPr="0070777B">
        <w:rPr>
          <w:rFonts w:ascii="Times New Roman" w:hAnsi="Times New Roman"/>
          <w:i/>
          <w:iCs/>
          <w:sz w:val="28"/>
          <w:szCs w:val="28"/>
        </w:rPr>
        <w:t xml:space="preserve">: </w:t>
      </w:r>
      <w:r w:rsidRPr="0070777B">
        <w:rPr>
          <w:rFonts w:ascii="Times New Roman" w:hAnsi="Times New Roman"/>
          <w:b w:val="0"/>
          <w:bCs/>
          <w:i/>
          <w:iCs/>
          <w:sz w:val="28"/>
          <w:szCs w:val="28"/>
        </w:rPr>
        <w:t>до 01.01.2024 срок вручения извещений – не позднее 1 сентября.</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-местам (далее — иные здания, сооружения).</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101301" w:rsidRPr="0070777B" w:rsidRDefault="00101301" w:rsidP="00101301">
      <w:pPr>
        <w:pStyle w:val="Arial"/>
        <w:tabs>
          <w:tab w:val="left" w:pos="0"/>
        </w:tabs>
        <w:ind w:firstLine="567"/>
        <w:rPr>
          <w:rFonts w:ascii="Times New Roman" w:hAnsi="Times New Roman" w:cs="Times New Roman"/>
          <w:sz w:val="28"/>
          <w:szCs w:val="28"/>
        </w:rPr>
      </w:pPr>
      <w:proofErr w:type="gramStart"/>
      <w:r w:rsidRPr="0070777B">
        <w:rPr>
          <w:rFonts w:ascii="Times New Roman" w:hAnsi="Times New Roman" w:cs="Times New Roman"/>
          <w:sz w:val="28"/>
          <w:szCs w:val="28"/>
        </w:rPr>
        <w:t>до</w:t>
      </w:r>
      <w:proofErr w:type="gramEnd"/>
      <w:r w:rsidRPr="0070777B">
        <w:rPr>
          <w:rFonts w:ascii="Times New Roman" w:hAnsi="Times New Roman" w:cs="Times New Roman"/>
          <w:sz w:val="28"/>
          <w:szCs w:val="28"/>
        </w:rPr>
        <w:t xml:space="preserve"> 200 кв. метров (метров);</w:t>
      </w:r>
    </w:p>
    <w:p w:rsidR="00101301" w:rsidRPr="0070777B" w:rsidRDefault="00101301" w:rsidP="00101301">
      <w:pPr>
        <w:pStyle w:val="Arial"/>
        <w:tabs>
          <w:tab w:val="left" w:pos="0"/>
        </w:tabs>
        <w:ind w:firstLine="567"/>
        <w:rPr>
          <w:rFonts w:ascii="Times New Roman" w:hAnsi="Times New Roman" w:cs="Times New Roman"/>
          <w:sz w:val="28"/>
          <w:szCs w:val="28"/>
        </w:rPr>
      </w:pPr>
      <w:proofErr w:type="gramStart"/>
      <w:r w:rsidRPr="0070777B">
        <w:rPr>
          <w:rFonts w:ascii="Times New Roman" w:hAnsi="Times New Roman" w:cs="Times New Roman"/>
          <w:sz w:val="28"/>
          <w:szCs w:val="28"/>
        </w:rPr>
        <w:t>свыше</w:t>
      </w:r>
      <w:proofErr w:type="gramEnd"/>
      <w:r w:rsidRPr="0070777B">
        <w:rPr>
          <w:rFonts w:ascii="Times New Roman" w:hAnsi="Times New Roman" w:cs="Times New Roman"/>
          <w:sz w:val="28"/>
          <w:szCs w:val="28"/>
        </w:rPr>
        <w:t xml:space="preserve"> 200 кв. метров (метров), но не более 400 кв. метров (метров);</w:t>
      </w:r>
    </w:p>
    <w:p w:rsidR="00101301" w:rsidRPr="0070777B" w:rsidRDefault="00101301" w:rsidP="00101301">
      <w:pPr>
        <w:pStyle w:val="Arial"/>
        <w:tabs>
          <w:tab w:val="left" w:pos="0"/>
        </w:tabs>
        <w:ind w:firstLine="567"/>
        <w:rPr>
          <w:rFonts w:ascii="Times New Roman" w:hAnsi="Times New Roman" w:cs="Times New Roman"/>
          <w:sz w:val="28"/>
          <w:szCs w:val="28"/>
        </w:rPr>
      </w:pPr>
      <w:proofErr w:type="gramStart"/>
      <w:r w:rsidRPr="0070777B">
        <w:rPr>
          <w:rFonts w:ascii="Times New Roman" w:hAnsi="Times New Roman" w:cs="Times New Roman"/>
          <w:sz w:val="28"/>
          <w:szCs w:val="28"/>
        </w:rPr>
        <w:t>свыше</w:t>
      </w:r>
      <w:proofErr w:type="gramEnd"/>
      <w:r w:rsidRPr="0070777B">
        <w:rPr>
          <w:rFonts w:ascii="Times New Roman" w:hAnsi="Times New Roman" w:cs="Times New Roman"/>
          <w:sz w:val="28"/>
          <w:szCs w:val="28"/>
        </w:rPr>
        <w:t xml:space="preserve"> 400 кв. метров (метров).</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101301" w:rsidRPr="0070777B" w:rsidRDefault="00101301" w:rsidP="00101301">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отношении жилых домов, квартир, садовых и дачных домиков, гаражей,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 порядок определения расчетной стоимости не изменился.</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101301" w:rsidRPr="0070777B" w:rsidRDefault="00101301" w:rsidP="00101301">
      <w:pPr>
        <w:pStyle w:val="a4"/>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101301" w:rsidRPr="0070777B" w:rsidRDefault="00101301" w:rsidP="00101301">
      <w:pPr>
        <w:pStyle w:val="Arial"/>
        <w:tabs>
          <w:tab w:val="left" w:pos="0"/>
          <w:tab w:val="left" w:pos="567"/>
          <w:tab w:val="left" w:pos="709"/>
        </w:tabs>
        <w:ind w:firstLine="567"/>
        <w:rPr>
          <w:rFonts w:ascii="Times New Roman" w:hAnsi="Times New Roman" w:cs="Times New Roman"/>
          <w:bCs/>
          <w:sz w:val="28"/>
          <w:szCs w:val="28"/>
        </w:rPr>
      </w:pPr>
      <w:proofErr w:type="gramStart"/>
      <w:r w:rsidRPr="0070777B">
        <w:rPr>
          <w:rFonts w:ascii="Times New Roman" w:hAnsi="Times New Roman" w:cs="Times New Roman"/>
          <w:sz w:val="28"/>
          <w:szCs w:val="28"/>
        </w:rPr>
        <w:t>доходы</w:t>
      </w:r>
      <w:proofErr w:type="gramEnd"/>
      <w:r w:rsidRPr="0070777B">
        <w:rPr>
          <w:rFonts w:ascii="Times New Roman" w:hAnsi="Times New Roman" w:cs="Times New Roman"/>
          <w:sz w:val="28"/>
          <w:szCs w:val="28"/>
        </w:rPr>
        <w:t xml:space="preserve">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proofErr w:type="gramStart"/>
      <w:r w:rsidRPr="0070777B">
        <w:rPr>
          <w:rFonts w:ascii="Times New Roman" w:hAnsi="Times New Roman" w:cs="Times New Roman"/>
          <w:sz w:val="28"/>
          <w:szCs w:val="28"/>
        </w:rPr>
        <w:t>доходы</w:t>
      </w:r>
      <w:proofErr w:type="gramEnd"/>
      <w:r w:rsidRPr="0070777B">
        <w:rPr>
          <w:rFonts w:ascii="Times New Roman" w:hAnsi="Times New Roman" w:cs="Times New Roman"/>
          <w:sz w:val="28"/>
          <w:szCs w:val="28"/>
        </w:rPr>
        <w:t xml:space="preserve">,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101301" w:rsidRPr="0070777B" w:rsidRDefault="00101301" w:rsidP="00101301">
      <w:pPr>
        <w:pStyle w:val="Arial"/>
        <w:tabs>
          <w:tab w:val="left" w:pos="0"/>
          <w:tab w:val="left" w:pos="567"/>
          <w:tab w:val="left" w:pos="709"/>
        </w:tabs>
        <w:ind w:firstLine="567"/>
        <w:rPr>
          <w:rFonts w:ascii="Times New Roman" w:hAnsi="Times New Roman" w:cs="Times New Roman"/>
          <w:bCs/>
          <w:sz w:val="28"/>
          <w:szCs w:val="28"/>
        </w:rPr>
      </w:pPr>
      <w:proofErr w:type="gramStart"/>
      <w:r w:rsidRPr="0070777B">
        <w:rPr>
          <w:rFonts w:ascii="Times New Roman" w:hAnsi="Times New Roman" w:cs="Times New Roman"/>
          <w:bCs/>
          <w:sz w:val="28"/>
          <w:szCs w:val="28"/>
        </w:rPr>
        <w:t>доходы</w:t>
      </w:r>
      <w:proofErr w:type="gramEnd"/>
      <w:r w:rsidRPr="0070777B">
        <w:rPr>
          <w:rFonts w:ascii="Times New Roman" w:hAnsi="Times New Roman" w:cs="Times New Roman"/>
          <w:bCs/>
          <w:sz w:val="28"/>
          <w:szCs w:val="28"/>
        </w:rPr>
        <w:t>, не являющиеся вознаграждениями за исполнение трудовых или иных обязанностей, полученные от:</w:t>
      </w:r>
    </w:p>
    <w:p w:rsidR="00101301" w:rsidRPr="0070777B" w:rsidRDefault="00101301" w:rsidP="0010130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101301" w:rsidRPr="0070777B" w:rsidRDefault="00101301" w:rsidP="0010130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proofErr w:type="gramStart"/>
      <w:r w:rsidRPr="0070777B">
        <w:rPr>
          <w:rFonts w:ascii="Times New Roman" w:hAnsi="Times New Roman" w:cs="Times New Roman"/>
          <w:bCs/>
          <w:sz w:val="28"/>
          <w:szCs w:val="28"/>
        </w:rPr>
        <w:t>доходы</w:t>
      </w:r>
      <w:proofErr w:type="gramEnd"/>
      <w:r w:rsidRPr="0070777B">
        <w:rPr>
          <w:rFonts w:ascii="Times New Roman" w:hAnsi="Times New Roman" w:cs="Times New Roman"/>
          <w:bCs/>
          <w:sz w:val="28"/>
          <w:szCs w:val="28"/>
        </w:rPr>
        <w:t xml:space="preserve">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101301" w:rsidRPr="0070777B" w:rsidRDefault="00101301" w:rsidP="00101301">
      <w:pPr>
        <w:pStyle w:val="Arial"/>
        <w:tabs>
          <w:tab w:val="left" w:pos="0"/>
          <w:tab w:val="left" w:pos="567"/>
          <w:tab w:val="left" w:pos="709"/>
        </w:tabs>
        <w:ind w:firstLine="567"/>
        <w:rPr>
          <w:rFonts w:ascii="Times New Roman" w:hAnsi="Times New Roman" w:cs="Times New Roman"/>
          <w:bCs/>
          <w:sz w:val="28"/>
          <w:szCs w:val="28"/>
        </w:rPr>
      </w:pPr>
      <w:proofErr w:type="gramStart"/>
      <w:r w:rsidRPr="0070777B">
        <w:rPr>
          <w:rFonts w:ascii="Times New Roman" w:hAnsi="Times New Roman" w:cs="Times New Roman"/>
          <w:sz w:val="28"/>
          <w:szCs w:val="28"/>
        </w:rPr>
        <w:t>доходы</w:t>
      </w:r>
      <w:proofErr w:type="gramEnd"/>
      <w:r w:rsidRPr="0070777B">
        <w:rPr>
          <w:rFonts w:ascii="Times New Roman" w:hAnsi="Times New Roman" w:cs="Times New Roman"/>
          <w:sz w:val="28"/>
          <w:szCs w:val="28"/>
        </w:rPr>
        <w:t xml:space="preserve">,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101301" w:rsidRPr="0070777B" w:rsidRDefault="00101301" w:rsidP="00101301">
      <w:pPr>
        <w:pStyle w:val="Arial"/>
        <w:tabs>
          <w:tab w:val="left" w:pos="0"/>
          <w:tab w:val="left" w:pos="567"/>
          <w:tab w:val="left" w:pos="709"/>
        </w:tabs>
        <w:ind w:firstLine="567"/>
        <w:rPr>
          <w:rFonts w:ascii="Times New Roman" w:hAnsi="Times New Roman" w:cs="Times New Roman"/>
          <w:b/>
          <w:bCs/>
          <w:sz w:val="28"/>
          <w:szCs w:val="28"/>
        </w:rPr>
      </w:pPr>
      <w:proofErr w:type="gramStart"/>
      <w:r w:rsidRPr="0070777B">
        <w:rPr>
          <w:rFonts w:ascii="Times New Roman" w:hAnsi="Times New Roman" w:cs="Times New Roman"/>
          <w:bCs/>
          <w:sz w:val="28"/>
          <w:szCs w:val="28"/>
        </w:rPr>
        <w:t>доходы</w:t>
      </w:r>
      <w:proofErr w:type="gramEnd"/>
      <w:r w:rsidRPr="0070777B">
        <w:rPr>
          <w:rFonts w:ascii="Times New Roman" w:hAnsi="Times New Roman" w:cs="Times New Roman"/>
          <w:bCs/>
          <w:sz w:val="28"/>
          <w:szCs w:val="28"/>
        </w:rPr>
        <w:t xml:space="preserve">,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proofErr w:type="gramStart"/>
      <w:r w:rsidRPr="0070777B">
        <w:rPr>
          <w:rFonts w:ascii="Times New Roman" w:hAnsi="Times New Roman" w:cs="Times New Roman"/>
          <w:sz w:val="28"/>
          <w:szCs w:val="28"/>
        </w:rPr>
        <w:lastRenderedPageBreak/>
        <w:t>стандартный</w:t>
      </w:r>
      <w:proofErr w:type="gramEnd"/>
      <w:r w:rsidRPr="0070777B">
        <w:rPr>
          <w:rFonts w:ascii="Times New Roman" w:hAnsi="Times New Roman" w:cs="Times New Roman"/>
          <w:sz w:val="28"/>
          <w:szCs w:val="28"/>
        </w:rPr>
        <w:t xml:space="preserve">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proofErr w:type="gramStart"/>
      <w:r w:rsidRPr="0070777B">
        <w:rPr>
          <w:rFonts w:ascii="Times New Roman" w:hAnsi="Times New Roman" w:cs="Times New Roman"/>
          <w:sz w:val="28"/>
          <w:szCs w:val="28"/>
        </w:rPr>
        <w:t>стандартный</w:t>
      </w:r>
      <w:proofErr w:type="gramEnd"/>
      <w:r w:rsidRPr="0070777B">
        <w:rPr>
          <w:rFonts w:ascii="Times New Roman" w:hAnsi="Times New Roman" w:cs="Times New Roman"/>
          <w:sz w:val="28"/>
          <w:szCs w:val="28"/>
        </w:rPr>
        <w:t xml:space="preserve"> налоговый вычет:</w:t>
      </w:r>
    </w:p>
    <w:p w:rsidR="00101301" w:rsidRPr="0070777B" w:rsidRDefault="00101301" w:rsidP="0010130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101301" w:rsidRPr="0070777B" w:rsidRDefault="00101301" w:rsidP="0010130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101301" w:rsidRPr="0070777B" w:rsidRDefault="00101301" w:rsidP="00101301">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введен дополнительный стандартный налоговый вычет для молодых специалистов, молодых рабочих (служащих).</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1"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2" w:name="_Hlk143165358"/>
      <w:bookmarkEnd w:id="1"/>
      <w:r w:rsidRPr="0070777B">
        <w:rPr>
          <w:rFonts w:ascii="Times New Roman" w:hAnsi="Times New Roman" w:cs="Times New Roman"/>
          <w:sz w:val="28"/>
          <w:szCs w:val="28"/>
        </w:rPr>
        <w:t>предоставляется:</w:t>
      </w:r>
    </w:p>
    <w:bookmarkEnd w:id="2"/>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101301" w:rsidRPr="0070777B" w:rsidRDefault="00101301" w:rsidP="00101301">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101301" w:rsidRPr="0070777B" w:rsidRDefault="00101301" w:rsidP="0010130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101301" w:rsidRPr="0070777B" w:rsidRDefault="00101301" w:rsidP="00101301">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101301" w:rsidRPr="0070777B" w:rsidRDefault="00101301" w:rsidP="00101301">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 xml:space="preserve">Сбор за осуществление ремесленной деятельности, сбор за осуществление деятельности по оказанию услуг в сфере </w:t>
      </w:r>
      <w:proofErr w:type="spellStart"/>
      <w:r w:rsidRPr="0070777B">
        <w:rPr>
          <w:rFonts w:ascii="Times New Roman" w:hAnsi="Times New Roman"/>
          <w:b w:val="0"/>
          <w:bCs/>
          <w:i/>
          <w:iCs/>
          <w:sz w:val="28"/>
          <w:szCs w:val="28"/>
          <w:u w:val="single"/>
        </w:rPr>
        <w:t>агроэкотуризма</w:t>
      </w:r>
      <w:proofErr w:type="spellEnd"/>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С 1 января 2024 г. ставка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Новая ставка применяется при уплате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Fonts w:ascii="Times New Roman" w:hAnsi="Times New Roman" w:cs="Times New Roman"/>
          <w:sz w:val="28"/>
          <w:szCs w:val="28"/>
        </w:rPr>
        <w:t>, срок уплаты которого наступает после 31 января 2024 г.</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 xml:space="preserve">по сроку 3 января 2024 г. производится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101301" w:rsidRPr="0070777B" w:rsidRDefault="00101301" w:rsidP="00101301">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101301" w:rsidRPr="0070777B" w:rsidRDefault="00101301" w:rsidP="00101301">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101301"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101301" w:rsidRPr="0070777B" w:rsidRDefault="00101301" w:rsidP="00101301">
      <w:pPr>
        <w:pStyle w:val="Arial"/>
        <w:tabs>
          <w:tab w:val="left" w:pos="0"/>
        </w:tabs>
        <w:ind w:firstLine="567"/>
        <w:rPr>
          <w:rFonts w:ascii="Times New Roman" w:hAnsi="Times New Roman" w:cs="Times New Roman"/>
          <w:sz w:val="28"/>
          <w:szCs w:val="28"/>
        </w:rPr>
      </w:pPr>
    </w:p>
    <w:p w:rsidR="00101301" w:rsidRPr="0070777B" w:rsidRDefault="00101301" w:rsidP="00101301">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101301" w:rsidRPr="0070777B" w:rsidRDefault="00101301" w:rsidP="00101301">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101301" w:rsidRPr="0070777B" w:rsidRDefault="00101301" w:rsidP="00101301">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101301" w:rsidRPr="0070777B" w:rsidRDefault="00101301" w:rsidP="00101301">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 xml:space="preserve">для белорусских плательщиков, реализующих товары преимущественно через интернет-магазин или </w:t>
      </w:r>
      <w:proofErr w:type="spellStart"/>
      <w:r w:rsidRPr="0070777B">
        <w:rPr>
          <w:rFonts w:eastAsia="Calibri" w:cs="Times New Roman"/>
          <w:szCs w:val="28"/>
        </w:rPr>
        <w:t>маркетплейс</w:t>
      </w:r>
      <w:proofErr w:type="spellEnd"/>
      <w:r w:rsidRPr="0070777B">
        <w:rPr>
          <w:rFonts w:eastAsia="Calibri" w:cs="Times New Roman"/>
          <w:szCs w:val="28"/>
        </w:rPr>
        <w:t>.</w:t>
      </w:r>
    </w:p>
    <w:p w:rsidR="00101301" w:rsidRPr="0070777B" w:rsidRDefault="00101301" w:rsidP="00101301">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Акцизы</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101301" w:rsidRPr="0070777B" w:rsidRDefault="00101301" w:rsidP="00101301">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t>Товар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смеси для кальяна» выделен из группы товаров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w:t>
      </w:r>
      <w:proofErr w:type="spellStart"/>
      <w:r w:rsidRPr="0070777B">
        <w:rPr>
          <w:rFonts w:cs="Times New Roman"/>
          <w:bCs/>
          <w:szCs w:val="28"/>
        </w:rPr>
        <w:t>нетабачных</w:t>
      </w:r>
      <w:proofErr w:type="spellEnd"/>
      <w:r w:rsidRPr="0070777B">
        <w:rPr>
          <w:rFonts w:cs="Times New Roman"/>
          <w:bCs/>
          <w:szCs w:val="28"/>
        </w:rPr>
        <w:t xml:space="preserve"> </w:t>
      </w:r>
      <w:proofErr w:type="spellStart"/>
      <w:r w:rsidRPr="0070777B">
        <w:rPr>
          <w:rFonts w:cs="Times New Roman"/>
          <w:bCs/>
          <w:szCs w:val="28"/>
        </w:rPr>
        <w:t>никотиносодержащих</w:t>
      </w:r>
      <w:proofErr w:type="spellEnd"/>
      <w:r w:rsidRPr="0070777B">
        <w:rPr>
          <w:rFonts w:cs="Times New Roman"/>
          <w:bCs/>
          <w:szCs w:val="28"/>
        </w:rPr>
        <w:t xml:space="preserve"> смесей для кальяна было экономически нецелесообразно.</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 xml:space="preserve">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w:t>
      </w:r>
      <w:r w:rsidRPr="0070777B">
        <w:rPr>
          <w:rFonts w:cs="Times New Roman"/>
          <w:bCs/>
          <w:szCs w:val="28"/>
        </w:rPr>
        <w:lastRenderedPageBreak/>
        <w:t>процедурой таможенного транзита, акцизы не будут исчисляться (такая реализация (передача) не признается объектом налогообложения акцизами);</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101301" w:rsidRPr="0070777B" w:rsidRDefault="00101301" w:rsidP="00101301">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101301" w:rsidRPr="0070777B" w:rsidRDefault="00101301" w:rsidP="00101301">
      <w:pPr>
        <w:widowControl w:val="0"/>
        <w:tabs>
          <w:tab w:val="left" w:pos="0"/>
        </w:tabs>
        <w:spacing w:after="0" w:line="240" w:lineRule="auto"/>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101301" w:rsidRPr="0070777B" w:rsidRDefault="00101301" w:rsidP="00101301">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101301" w:rsidRPr="0070777B" w:rsidRDefault="00101301" w:rsidP="00101301">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101301" w:rsidRPr="0070777B" w:rsidRDefault="00101301" w:rsidP="00101301">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101301" w:rsidRPr="0070777B" w:rsidRDefault="00101301" w:rsidP="00101301">
      <w:pPr>
        <w:widowControl w:val="0"/>
        <w:tabs>
          <w:tab w:val="left" w:pos="0"/>
        </w:tabs>
        <w:spacing w:after="0" w:line="240" w:lineRule="auto"/>
        <w:ind w:firstLine="567"/>
        <w:jc w:val="both"/>
        <w:rPr>
          <w:rFonts w:eastAsia="Calibri" w:cs="Times New Roman"/>
          <w:szCs w:val="28"/>
        </w:rPr>
      </w:pPr>
      <w:proofErr w:type="gramStart"/>
      <w:r w:rsidRPr="0070777B">
        <w:rPr>
          <w:rFonts w:eastAsia="Calibri" w:cs="Times New Roman"/>
          <w:szCs w:val="28"/>
        </w:rPr>
        <w:t>предусмотрен</w:t>
      </w:r>
      <w:proofErr w:type="gramEnd"/>
      <w:r w:rsidRPr="0070777B">
        <w:rPr>
          <w:rFonts w:eastAsia="Calibri" w:cs="Times New Roman"/>
          <w:szCs w:val="28"/>
        </w:rPr>
        <w:t xml:space="preserve"> срок обращения менее одного года;</w:t>
      </w:r>
    </w:p>
    <w:p w:rsidR="00101301" w:rsidRPr="0070777B" w:rsidRDefault="00101301" w:rsidP="00101301">
      <w:pPr>
        <w:widowControl w:val="0"/>
        <w:tabs>
          <w:tab w:val="left" w:pos="0"/>
        </w:tabs>
        <w:spacing w:after="0" w:line="240" w:lineRule="auto"/>
        <w:ind w:firstLine="567"/>
        <w:jc w:val="both"/>
        <w:rPr>
          <w:rFonts w:eastAsia="Calibri" w:cs="Times New Roman"/>
          <w:szCs w:val="28"/>
        </w:rPr>
      </w:pPr>
      <w:proofErr w:type="gramStart"/>
      <w:r w:rsidRPr="0070777B">
        <w:rPr>
          <w:rFonts w:eastAsia="Calibri" w:cs="Times New Roman"/>
          <w:szCs w:val="28"/>
        </w:rPr>
        <w:t>предусмотрена</w:t>
      </w:r>
      <w:proofErr w:type="gramEnd"/>
      <w:r w:rsidRPr="0070777B">
        <w:rPr>
          <w:rFonts w:eastAsia="Calibri" w:cs="Times New Roman"/>
          <w:szCs w:val="28"/>
        </w:rPr>
        <w:t xml:space="preserve"> возможность осуществления эмитентом досрочного погашения или выкупа в течение года с даты начала их размещения. </w:t>
      </w:r>
    </w:p>
    <w:p w:rsidR="00101301" w:rsidRPr="0070777B" w:rsidRDefault="00101301" w:rsidP="0010130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w:t>
      </w:r>
      <w:proofErr w:type="spellStart"/>
      <w:r w:rsidRPr="0070777B">
        <w:rPr>
          <w:rFonts w:ascii="Times New Roman" w:hAnsi="Times New Roman" w:cs="Times New Roman"/>
          <w:sz w:val="28"/>
          <w:szCs w:val="28"/>
        </w:rPr>
        <w:t>каршеринга</w:t>
      </w:r>
      <w:proofErr w:type="spellEnd"/>
      <w:r w:rsidRPr="0070777B">
        <w:rPr>
          <w:rFonts w:ascii="Times New Roman" w:hAnsi="Times New Roman" w:cs="Times New Roman"/>
          <w:sz w:val="28"/>
          <w:szCs w:val="28"/>
        </w:rPr>
        <w:t>), и исключается необходимость восстанавливать инвестиционный вычет при использовании легковых автомобилей для оказания таких услуг.</w:t>
      </w:r>
    </w:p>
    <w:p w:rsidR="00101301" w:rsidRPr="0070777B" w:rsidRDefault="00101301" w:rsidP="00101301">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101301" w:rsidRPr="0070777B" w:rsidRDefault="00101301" w:rsidP="00101301">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101301" w:rsidRPr="0070777B" w:rsidRDefault="00101301" w:rsidP="00101301">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101301" w:rsidRPr="0070777B" w:rsidRDefault="00101301" w:rsidP="00101301">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lastRenderedPageBreak/>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101301" w:rsidRPr="0070777B" w:rsidRDefault="00101301" w:rsidP="00101301">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101301" w:rsidRPr="0070777B" w:rsidRDefault="00101301" w:rsidP="00101301">
      <w:pPr>
        <w:tabs>
          <w:tab w:val="left" w:pos="0"/>
        </w:tabs>
        <w:spacing w:after="0" w:line="240" w:lineRule="auto"/>
        <w:ind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101301" w:rsidRPr="0070777B" w:rsidRDefault="00101301" w:rsidP="00101301">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 налог</w:t>
      </w:r>
    </w:p>
    <w:p w:rsidR="00101301" w:rsidRPr="0070777B" w:rsidRDefault="00101301" w:rsidP="00101301">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101301" w:rsidRPr="0070777B" w:rsidRDefault="00101301" w:rsidP="00101301">
      <w:pPr>
        <w:tabs>
          <w:tab w:val="left" w:pos="0"/>
        </w:tabs>
        <w:spacing w:after="0" w:line="240" w:lineRule="auto"/>
        <w:ind w:firstLine="567"/>
        <w:jc w:val="both"/>
        <w:rPr>
          <w:rFonts w:cs="Times New Roman"/>
          <w:szCs w:val="28"/>
        </w:rPr>
      </w:pPr>
      <w:proofErr w:type="gramStart"/>
      <w:r w:rsidRPr="0070777B">
        <w:rPr>
          <w:rFonts w:cs="Times New Roman"/>
          <w:szCs w:val="28"/>
        </w:rPr>
        <w:t>ставки</w:t>
      </w:r>
      <w:proofErr w:type="gramEnd"/>
      <w:r w:rsidRPr="0070777B">
        <w:rPr>
          <w:rFonts w:cs="Times New Roman"/>
          <w:szCs w:val="28"/>
        </w:rPr>
        <w:t xml:space="preserve"> земельного налога на земельные участки, по которым в качестве налоговой базы земельного налога применяется их площадь;</w:t>
      </w:r>
    </w:p>
    <w:p w:rsidR="00101301" w:rsidRPr="0070777B" w:rsidRDefault="00101301" w:rsidP="00101301">
      <w:pPr>
        <w:tabs>
          <w:tab w:val="left" w:pos="0"/>
        </w:tabs>
        <w:spacing w:after="0" w:line="240" w:lineRule="auto"/>
        <w:ind w:firstLine="567"/>
        <w:jc w:val="both"/>
        <w:rPr>
          <w:rFonts w:cs="Times New Roman"/>
          <w:szCs w:val="28"/>
        </w:rPr>
      </w:pPr>
      <w:r w:rsidRPr="0070777B">
        <w:rPr>
          <w:rFonts w:cs="Times New Roman"/>
          <w:szCs w:val="28"/>
        </w:rPr>
        <w:t xml:space="preserve"> </w:t>
      </w:r>
      <w:proofErr w:type="gramStart"/>
      <w:r w:rsidRPr="0070777B">
        <w:rPr>
          <w:rFonts w:cs="Times New Roman"/>
          <w:szCs w:val="28"/>
        </w:rPr>
        <w:t>величина</w:t>
      </w:r>
      <w:proofErr w:type="gramEnd"/>
      <w:r w:rsidRPr="0070777B">
        <w:rPr>
          <w:rFonts w:cs="Times New Roman"/>
          <w:szCs w:val="28"/>
        </w:rPr>
        <w:t xml:space="preserve">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101301" w:rsidRPr="0070777B" w:rsidRDefault="00101301" w:rsidP="00101301">
      <w:pPr>
        <w:tabs>
          <w:tab w:val="left" w:pos="0"/>
        </w:tabs>
        <w:spacing w:after="0" w:line="240" w:lineRule="auto"/>
        <w:ind w:firstLine="567"/>
        <w:jc w:val="both"/>
        <w:rPr>
          <w:rFonts w:cs="Times New Roman"/>
          <w:szCs w:val="28"/>
        </w:rPr>
      </w:pPr>
      <w:r w:rsidRPr="0070777B">
        <w:rPr>
          <w:rFonts w:cs="Times New Roman"/>
          <w:szCs w:val="28"/>
        </w:rPr>
        <w:t xml:space="preserve"> </w:t>
      </w:r>
      <w:proofErr w:type="gramStart"/>
      <w:r w:rsidRPr="0070777B">
        <w:rPr>
          <w:rFonts w:cs="Times New Roman"/>
          <w:szCs w:val="28"/>
        </w:rPr>
        <w:t>ставки</w:t>
      </w:r>
      <w:proofErr w:type="gramEnd"/>
      <w:r w:rsidRPr="0070777B">
        <w:rPr>
          <w:rFonts w:cs="Times New Roman"/>
          <w:szCs w:val="28"/>
        </w:rPr>
        <w:t xml:space="preserve">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p>
    <w:p w:rsidR="00101301" w:rsidRPr="0070777B" w:rsidRDefault="00101301" w:rsidP="00101301">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101301" w:rsidRPr="0070777B" w:rsidRDefault="00101301" w:rsidP="00101301">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p>
    <w:p w:rsidR="00101301" w:rsidRPr="0070777B" w:rsidRDefault="00101301" w:rsidP="00101301">
      <w:pPr>
        <w:tabs>
          <w:tab w:val="left" w:pos="0"/>
        </w:tabs>
        <w:spacing w:after="0" w:line="240" w:lineRule="auto"/>
        <w:ind w:firstLine="567"/>
        <w:jc w:val="both"/>
        <w:rPr>
          <w:rFonts w:eastAsia="Calibri" w:cs="Times New Roman"/>
          <w:iCs/>
          <w:szCs w:val="28"/>
        </w:rPr>
      </w:pPr>
      <w:r w:rsidRPr="0070777B">
        <w:rPr>
          <w:rFonts w:cs="Times New Roman"/>
          <w:szCs w:val="28"/>
        </w:rPr>
        <w:t xml:space="preserve">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w:t>
      </w:r>
      <w:proofErr w:type="spellStart"/>
      <w:r w:rsidRPr="0070777B">
        <w:rPr>
          <w:rFonts w:cs="Times New Roman"/>
          <w:szCs w:val="28"/>
        </w:rPr>
        <w:t>аккуммулировании</w:t>
      </w:r>
      <w:proofErr w:type="spellEnd"/>
      <w:r w:rsidRPr="0070777B">
        <w:rPr>
          <w:rFonts w:cs="Times New Roman"/>
          <w:szCs w:val="28"/>
        </w:rPr>
        <w:t xml:space="preserve">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101301" w:rsidRPr="0070777B" w:rsidRDefault="00101301" w:rsidP="00101301">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 (УСН)</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при наличии у них сертификата соответствия, выданного на оказание услуг гостиниц. Это позволит выровнять условия применения УСН организациями, оказывающими услуги гостиниц, независимо от классификации их деятельности и места ее осуществления.</w:t>
      </w:r>
    </w:p>
    <w:p w:rsidR="00101301" w:rsidRPr="0070777B" w:rsidRDefault="00101301" w:rsidP="00101301">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lastRenderedPageBreak/>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101301" w:rsidRPr="0070777B" w:rsidRDefault="00101301" w:rsidP="00101301">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101301" w:rsidRPr="0070777B" w:rsidRDefault="00101301" w:rsidP="00101301">
      <w:pPr>
        <w:widowControl w:val="0"/>
        <w:tabs>
          <w:tab w:val="left" w:pos="0"/>
        </w:tabs>
        <w:spacing w:after="0" w:line="240" w:lineRule="auto"/>
        <w:ind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101301" w:rsidRPr="0070777B" w:rsidRDefault="00101301" w:rsidP="00101301">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101301" w:rsidRPr="0070777B" w:rsidRDefault="00101301" w:rsidP="00101301">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101301" w:rsidRPr="0070777B" w:rsidRDefault="00101301" w:rsidP="00101301">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101301" w:rsidRPr="0070777B" w:rsidRDefault="00101301" w:rsidP="00101301">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101301" w:rsidRPr="0070777B" w:rsidRDefault="00101301" w:rsidP="00101301">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101301" w:rsidRPr="0070777B" w:rsidRDefault="00101301" w:rsidP="00101301">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101301" w:rsidRPr="0070777B" w:rsidRDefault="00101301" w:rsidP="00101301">
      <w:pPr>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С 2024 года в случае, когда лизингополучатель заключает договор </w:t>
      </w:r>
      <w:proofErr w:type="spellStart"/>
      <w:r w:rsidRPr="0070777B">
        <w:rPr>
          <w:rFonts w:eastAsia="Calibri" w:cs="Times New Roman"/>
          <w:szCs w:val="28"/>
        </w:rPr>
        <w:t>сублизинга</w:t>
      </w:r>
      <w:proofErr w:type="spellEnd"/>
      <w:r w:rsidRPr="0070777B">
        <w:rPr>
          <w:rFonts w:eastAsia="Calibri" w:cs="Times New Roman"/>
          <w:szCs w:val="28"/>
        </w:rPr>
        <w:t xml:space="preserve"> и передает транспортное средство </w:t>
      </w:r>
      <w:proofErr w:type="spellStart"/>
      <w:r w:rsidRPr="0070777B">
        <w:rPr>
          <w:rFonts w:eastAsia="Calibri" w:cs="Times New Roman"/>
          <w:szCs w:val="28"/>
        </w:rPr>
        <w:t>сублизингополучателю</w:t>
      </w:r>
      <w:proofErr w:type="spellEnd"/>
      <w:r w:rsidRPr="0070777B">
        <w:rPr>
          <w:rFonts w:eastAsia="Calibri" w:cs="Times New Roman"/>
          <w:szCs w:val="28"/>
        </w:rPr>
        <w:t xml:space="preserve">, Плательщиком транспортного налога является </w:t>
      </w:r>
      <w:proofErr w:type="spellStart"/>
      <w:r w:rsidRPr="0070777B">
        <w:rPr>
          <w:rFonts w:eastAsia="Calibri" w:cs="Times New Roman"/>
          <w:szCs w:val="28"/>
        </w:rPr>
        <w:t>сублизингополучатель</w:t>
      </w:r>
      <w:proofErr w:type="spellEnd"/>
      <w:r w:rsidRPr="0070777B">
        <w:rPr>
          <w:rFonts w:eastAsia="Calibri" w:cs="Times New Roman"/>
          <w:szCs w:val="28"/>
        </w:rPr>
        <w:t>.</w:t>
      </w:r>
    </w:p>
    <w:p w:rsidR="00101301" w:rsidRPr="0070777B" w:rsidRDefault="00101301" w:rsidP="00101301">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101301" w:rsidRPr="0070777B" w:rsidRDefault="00101301" w:rsidP="00101301">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101301" w:rsidRPr="0070777B" w:rsidRDefault="00101301" w:rsidP="00101301">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w:t>
      </w:r>
      <w:proofErr w:type="spellStart"/>
      <w:r w:rsidRPr="0070777B">
        <w:rPr>
          <w:rFonts w:eastAsia="Calibri" w:cs="Times New Roman"/>
          <w:spacing w:val="-8"/>
          <w:kern w:val="2"/>
          <w:szCs w:val="28"/>
        </w:rPr>
        <w:t>цифровизацией</w:t>
      </w:r>
      <w:proofErr w:type="spellEnd"/>
      <w:r w:rsidRPr="0070777B">
        <w:rPr>
          <w:rFonts w:eastAsia="Calibri" w:cs="Times New Roman"/>
          <w:spacing w:val="-8"/>
          <w:kern w:val="2"/>
          <w:szCs w:val="28"/>
        </w:rPr>
        <w:t xml:space="preserve"> транспортного налога </w:t>
      </w:r>
      <w:r w:rsidRPr="0070777B">
        <w:rPr>
          <w:rFonts w:eastAsia="Calibri" w:cs="Times New Roman"/>
          <w:szCs w:val="28"/>
        </w:rPr>
        <w:t xml:space="preserve">в отношении транспортного налога с организаций будет применяться </w:t>
      </w:r>
      <w:proofErr w:type="spellStart"/>
      <w:r w:rsidRPr="0070777B">
        <w:rPr>
          <w:rFonts w:eastAsia="Calibri" w:cs="Times New Roman"/>
          <w:szCs w:val="28"/>
        </w:rPr>
        <w:t>префайлинг</w:t>
      </w:r>
      <w:proofErr w:type="spellEnd"/>
      <w:r w:rsidRPr="0070777B">
        <w:rPr>
          <w:rFonts w:eastAsia="Calibri" w:cs="Times New Roman"/>
          <w:szCs w:val="28"/>
        </w:rPr>
        <w:t xml:space="preserve">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1310C0" w:rsidRDefault="001310C0"/>
    <w:sectPr w:rsidR="001310C0" w:rsidSect="0010130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01"/>
    <w:rsid w:val="00101301"/>
    <w:rsid w:val="0013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25DC7-F53F-440F-B139-5140F6CA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1301"/>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01301"/>
    <w:pPr>
      <w:ind w:left="720"/>
      <w:contextualSpacing/>
    </w:pPr>
  </w:style>
  <w:style w:type="paragraph" w:customStyle="1" w:styleId="newncpi">
    <w:name w:val="newncpi"/>
    <w:basedOn w:val="a0"/>
    <w:rsid w:val="0010130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101301"/>
  </w:style>
  <w:style w:type="paragraph" w:customStyle="1" w:styleId="il-text-alignleft">
    <w:name w:val="il-text-align_left"/>
    <w:basedOn w:val="a0"/>
    <w:rsid w:val="0010130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101301"/>
  </w:style>
  <w:style w:type="paragraph" w:customStyle="1" w:styleId="il-text-alignjustify">
    <w:name w:val="il-text-align_justify"/>
    <w:basedOn w:val="a0"/>
    <w:rsid w:val="0010130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10130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101301"/>
    <w:pPr>
      <w:spacing w:after="0" w:line="240" w:lineRule="auto"/>
      <w:jc w:val="both"/>
    </w:pPr>
    <w:rPr>
      <w:rFonts w:ascii="Arial" w:eastAsia="Calibri" w:hAnsi="Arial" w:cs="Times New Roman"/>
      <w:b/>
      <w:sz w:val="21"/>
    </w:rPr>
  </w:style>
  <w:style w:type="paragraph" w:customStyle="1" w:styleId="a">
    <w:name w:val="Подсписок"/>
    <w:qFormat/>
    <w:rsid w:val="00101301"/>
    <w:pPr>
      <w:numPr>
        <w:numId w:val="1"/>
      </w:numPr>
      <w:spacing w:after="0" w:line="240" w:lineRule="auto"/>
      <w:ind w:left="284" w:firstLine="284"/>
      <w:jc w:val="both"/>
    </w:pPr>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4726</Words>
  <Characters>26943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2024-02-12T07:31:00Z</dcterms:created>
  <dcterms:modified xsi:type="dcterms:W3CDTF">2024-02-12T07:32:00Z</dcterms:modified>
</cp:coreProperties>
</file>