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6212"/>
      </w:tblGrid>
      <w:tr w:rsidR="00C515DA" w:rsidRPr="003E0C21" w:rsidTr="001510B3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515DA" w:rsidRDefault="00C515DA" w:rsidP="001510B3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C515DA" w:rsidRPr="003E0C21" w:rsidRDefault="00C515DA" w:rsidP="001510B3">
            <w:pPr>
              <w:spacing w:after="0" w:line="288" w:lineRule="auto"/>
              <w:rPr>
                <w:lang w:val="ru-RU"/>
              </w:rPr>
            </w:pPr>
            <w:r w:rsidRPr="003E0C21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C515DA" w:rsidRPr="003E0C21" w:rsidRDefault="00C515DA" w:rsidP="001510B3">
            <w:pPr>
              <w:rPr>
                <w:lang w:val="ru-RU"/>
              </w:rPr>
            </w:pPr>
            <w:r w:rsidRPr="003E0C21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3E0C21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C515DA" w:rsidRPr="003E0C21" w:rsidRDefault="00C515DA" w:rsidP="00C515DA">
      <w:pPr>
        <w:rPr>
          <w:lang w:val="ru-RU"/>
        </w:rPr>
      </w:pPr>
    </w:p>
    <w:p w:rsidR="00C515DA" w:rsidRPr="00C515DA" w:rsidRDefault="00C515DA" w:rsidP="00C515DA">
      <w:pPr>
        <w:spacing w:after="60"/>
        <w:jc w:val="center"/>
        <w:rPr>
          <w:lang w:val="ru-RU"/>
        </w:rPr>
      </w:pPr>
      <w:r w:rsidRPr="00C515DA">
        <w:rPr>
          <w:caps/>
          <w:lang w:val="ru-RU"/>
        </w:rPr>
        <w:t>ПОСТАНОВЛЕНИЕ</w:t>
      </w:r>
      <w:r>
        <w:rPr>
          <w:caps/>
        </w:rPr>
        <w:t> </w:t>
      </w:r>
      <w:r w:rsidRPr="00C515DA">
        <w:rPr>
          <w:caps/>
          <w:lang w:val="ru-RU"/>
        </w:rPr>
        <w:t>МИНИСТЕРСТВА ФИНАНСОВ РЕСПУБЛИКИ БЕЛАРУСЬ</w:t>
      </w:r>
    </w:p>
    <w:p w:rsidR="00C515DA" w:rsidRPr="00C515DA" w:rsidRDefault="00C515DA" w:rsidP="00C515DA">
      <w:pPr>
        <w:spacing w:after="60"/>
        <w:jc w:val="center"/>
        <w:rPr>
          <w:lang w:val="ru-RU"/>
        </w:rPr>
      </w:pPr>
      <w:r w:rsidRPr="00C515DA">
        <w:rPr>
          <w:lang w:val="ru-RU"/>
        </w:rPr>
        <w:t>21 марта 2022 г. № 14</w:t>
      </w:r>
    </w:p>
    <w:p w:rsidR="00C515DA" w:rsidRPr="00C515DA" w:rsidRDefault="00C515DA" w:rsidP="00C515DA">
      <w:pPr>
        <w:spacing w:before="240" w:after="240"/>
        <w:rPr>
          <w:lang w:val="ru-RU"/>
        </w:rPr>
      </w:pPr>
      <w:r w:rsidRPr="00C515DA">
        <w:rPr>
          <w:b/>
          <w:bCs/>
          <w:sz w:val="28"/>
          <w:szCs w:val="28"/>
          <w:lang w:val="ru-RU"/>
        </w:rPr>
        <w:t>Об утверждении регламентов административных процедур</w:t>
      </w:r>
    </w:p>
    <w:p w:rsidR="00C515DA" w:rsidRPr="00C515DA" w:rsidRDefault="00C515DA" w:rsidP="00C515DA">
      <w:pPr>
        <w:spacing w:after="60"/>
        <w:ind w:firstLine="566"/>
        <w:jc w:val="both"/>
        <w:rPr>
          <w:lang w:val="ru-RU"/>
        </w:rPr>
      </w:pPr>
      <w:r w:rsidRPr="00C515DA">
        <w:rPr>
          <w:lang w:val="ru-RU"/>
        </w:rPr>
        <w:t>На основании абзаца третьего пункта</w:t>
      </w:r>
      <w:r>
        <w:t> </w:t>
      </w:r>
      <w:r w:rsidRPr="00C515DA">
        <w:rPr>
          <w:lang w:val="ru-RU"/>
        </w:rPr>
        <w:t>3 Указа Президента Республики Беларусь от</w:t>
      </w:r>
      <w:r>
        <w:t> </w:t>
      </w:r>
      <w:r w:rsidRPr="00C515DA">
        <w:rPr>
          <w:lang w:val="ru-RU"/>
        </w:rPr>
        <w:t>25</w:t>
      </w:r>
      <w:r>
        <w:t> </w:t>
      </w:r>
      <w:r w:rsidRPr="00C515DA">
        <w:rPr>
          <w:lang w:val="ru-RU"/>
        </w:rPr>
        <w:t>июня 2021</w:t>
      </w:r>
      <w:r>
        <w:t> </w:t>
      </w:r>
      <w:r w:rsidRPr="00C515DA">
        <w:rPr>
          <w:lang w:val="ru-RU"/>
        </w:rPr>
        <w:t>г. №</w:t>
      </w:r>
      <w:r>
        <w:t> </w:t>
      </w:r>
      <w:r w:rsidRPr="00C515DA">
        <w:rPr>
          <w:lang w:val="ru-RU"/>
        </w:rPr>
        <w:t>240 «Об</w:t>
      </w:r>
      <w:r>
        <w:t> </w:t>
      </w:r>
      <w:r w:rsidRPr="00C515DA">
        <w:rPr>
          <w:lang w:val="ru-RU"/>
        </w:rPr>
        <w:t>административных процедурах, осуществляемых в</w:t>
      </w:r>
      <w:r>
        <w:t> </w:t>
      </w:r>
      <w:r w:rsidRPr="00C515DA">
        <w:rPr>
          <w:lang w:val="ru-RU"/>
        </w:rPr>
        <w:t>отношении субъектов хозяйствования», пункта</w:t>
      </w:r>
      <w:r>
        <w:t> </w:t>
      </w:r>
      <w:r w:rsidRPr="00C515DA">
        <w:rPr>
          <w:lang w:val="ru-RU"/>
        </w:rPr>
        <w:t>10 Положения о</w:t>
      </w:r>
      <w:r>
        <w:t> </w:t>
      </w:r>
      <w:r w:rsidRPr="00C515DA">
        <w:rPr>
          <w:lang w:val="ru-RU"/>
        </w:rPr>
        <w:t>Министерстве финансов Республики Беларусь, утвержденного постановлением Совета Министров Республики Беларусь от</w:t>
      </w:r>
      <w:r>
        <w:t> </w:t>
      </w:r>
      <w:r w:rsidRPr="00C515DA">
        <w:rPr>
          <w:lang w:val="ru-RU"/>
        </w:rPr>
        <w:t>31</w:t>
      </w:r>
      <w:r>
        <w:t> </w:t>
      </w:r>
      <w:r w:rsidRPr="00C515DA">
        <w:rPr>
          <w:lang w:val="ru-RU"/>
        </w:rPr>
        <w:t>октября 2001</w:t>
      </w:r>
      <w:r>
        <w:t> </w:t>
      </w:r>
      <w:r w:rsidRPr="00C515DA">
        <w:rPr>
          <w:lang w:val="ru-RU"/>
        </w:rPr>
        <w:t>г. №</w:t>
      </w:r>
      <w:r>
        <w:t> </w:t>
      </w:r>
      <w:r w:rsidRPr="00C515DA">
        <w:rPr>
          <w:lang w:val="ru-RU"/>
        </w:rPr>
        <w:t>1585, Министерство финансов Республики Беларусь ПОСТАНОВЛЯЕТ:</w:t>
      </w:r>
    </w:p>
    <w:p w:rsidR="00C515DA" w:rsidRPr="00C515DA" w:rsidRDefault="00C515DA" w:rsidP="00C515DA">
      <w:pPr>
        <w:spacing w:after="60"/>
        <w:ind w:firstLine="566"/>
        <w:jc w:val="both"/>
        <w:rPr>
          <w:lang w:val="ru-RU"/>
        </w:rPr>
      </w:pPr>
      <w:r w:rsidRPr="00C515DA">
        <w:rPr>
          <w:lang w:val="ru-RU"/>
        </w:rPr>
        <w:t>1.</w:t>
      </w:r>
      <w:r>
        <w:t> </w:t>
      </w:r>
      <w:r w:rsidRPr="00C515DA">
        <w:rPr>
          <w:lang w:val="ru-RU"/>
        </w:rPr>
        <w:t>Утвердить:</w:t>
      </w:r>
    </w:p>
    <w:p w:rsidR="00C515DA" w:rsidRPr="00C515DA" w:rsidRDefault="00C515DA" w:rsidP="00C515DA">
      <w:pPr>
        <w:spacing w:after="60"/>
        <w:ind w:firstLine="566"/>
        <w:jc w:val="both"/>
        <w:rPr>
          <w:lang w:val="ru-RU"/>
        </w:rPr>
      </w:pPr>
      <w:r w:rsidRPr="00C515DA">
        <w:rPr>
          <w:lang w:val="ru-RU"/>
        </w:rPr>
        <w:t>Регламент административной процедуры, осуществляемой в</w:t>
      </w:r>
      <w:r>
        <w:t> </w:t>
      </w:r>
      <w:r w:rsidRPr="00C515DA">
        <w:rPr>
          <w:lang w:val="ru-RU"/>
        </w:rPr>
        <w:t>отношении субъектов хозяйствования, по</w:t>
      </w:r>
      <w:r>
        <w:t> </w:t>
      </w:r>
      <w:r w:rsidRPr="00C515DA">
        <w:rPr>
          <w:lang w:val="ru-RU"/>
        </w:rPr>
        <w:t>подпункту</w:t>
      </w:r>
      <w:r>
        <w:t> </w:t>
      </w:r>
      <w:r w:rsidRPr="00C515DA">
        <w:rPr>
          <w:lang w:val="ru-RU"/>
        </w:rPr>
        <w:t>14.11.2 «Получение справки о</w:t>
      </w:r>
      <w:r>
        <w:t> </w:t>
      </w:r>
      <w:r w:rsidRPr="00C515DA">
        <w:rPr>
          <w:lang w:val="ru-RU"/>
        </w:rPr>
        <w:t>расчетах по</w:t>
      </w:r>
      <w:r>
        <w:t> </w:t>
      </w:r>
      <w:r w:rsidRPr="00C515DA">
        <w:rPr>
          <w:lang w:val="ru-RU"/>
        </w:rPr>
        <w:t>полученным из</w:t>
      </w:r>
      <w:r>
        <w:t> </w:t>
      </w:r>
      <w:r w:rsidRPr="00C515DA">
        <w:rPr>
          <w:lang w:val="ru-RU"/>
        </w:rPr>
        <w:t>местного бюджета бюджетным займам, ссудам, исполненным гарантиям местных исполнительных и</w:t>
      </w:r>
      <w:r>
        <w:t> </w:t>
      </w:r>
      <w:r w:rsidRPr="00C515DA">
        <w:rPr>
          <w:lang w:val="ru-RU"/>
        </w:rPr>
        <w:t>распорядительных органов» (прилагается);</w:t>
      </w:r>
    </w:p>
    <w:p w:rsidR="00C515DA" w:rsidRPr="00C515DA" w:rsidRDefault="00C515DA" w:rsidP="00C515DA">
      <w:pPr>
        <w:spacing w:after="60"/>
        <w:ind w:firstLine="566"/>
        <w:jc w:val="both"/>
        <w:rPr>
          <w:lang w:val="ru-RU"/>
        </w:rPr>
      </w:pPr>
      <w:r w:rsidRPr="00C515DA">
        <w:rPr>
          <w:lang w:val="ru-RU"/>
        </w:rPr>
        <w:t>2.</w:t>
      </w:r>
      <w:r>
        <w:t> </w:t>
      </w:r>
      <w:r w:rsidRPr="00C515DA">
        <w:rPr>
          <w:lang w:val="ru-RU"/>
        </w:rPr>
        <w:t>Настоящее постановление вступает в</w:t>
      </w:r>
      <w:r>
        <w:t> </w:t>
      </w:r>
      <w:r w:rsidRPr="00C515DA">
        <w:rPr>
          <w:lang w:val="ru-RU"/>
        </w:rPr>
        <w:t>силу после его официального опубликования.</w:t>
      </w:r>
    </w:p>
    <w:p w:rsidR="00C515DA" w:rsidRPr="00C515DA" w:rsidRDefault="00C515DA" w:rsidP="00C515D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C515DA" w:rsidTr="001510B3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:rsidR="00C515DA" w:rsidRDefault="00C515DA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C515DA" w:rsidRDefault="00C515DA" w:rsidP="001510B3">
            <w:pPr>
              <w:spacing w:after="60"/>
              <w:jc w:val="right"/>
            </w:pPr>
            <w:proofErr w:type="spellStart"/>
            <w:r>
              <w:t>Ю.М.Селиверстов</w:t>
            </w:r>
            <w:proofErr w:type="spellEnd"/>
          </w:p>
        </w:tc>
      </w:tr>
    </w:tbl>
    <w:p w:rsidR="00C515DA" w:rsidRDefault="00C515DA" w:rsidP="00C515DA">
      <w:pPr>
        <w:spacing w:after="60"/>
        <w:jc w:val="both"/>
      </w:pPr>
      <w:r>
        <w:t> </w:t>
      </w:r>
    </w:p>
    <w:p w:rsidR="00C515DA" w:rsidRDefault="00C515DA" w:rsidP="00C515DA">
      <w:pPr>
        <w:spacing w:after="28"/>
      </w:pPr>
      <w:r>
        <w:rPr>
          <w:sz w:val="22"/>
          <w:szCs w:val="22"/>
        </w:rPr>
        <w:t>СОГЛАСОВАНО</w:t>
      </w:r>
    </w:p>
    <w:p w:rsidR="00C515DA" w:rsidRDefault="00C515DA" w:rsidP="00C515DA">
      <w:pPr>
        <w:spacing w:after="120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  <w:r>
        <w:br/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C515DA" w:rsidRPr="00C515DA" w:rsidRDefault="00C515DA" w:rsidP="00C515DA">
      <w:pPr>
        <w:spacing w:after="120"/>
        <w:rPr>
          <w:lang w:val="ru-RU"/>
        </w:rPr>
      </w:pPr>
      <w:r w:rsidRPr="00C515DA">
        <w:rPr>
          <w:sz w:val="22"/>
          <w:szCs w:val="22"/>
          <w:lang w:val="ru-RU"/>
        </w:rPr>
        <w:t>Министерство по</w:t>
      </w:r>
      <w:r>
        <w:rPr>
          <w:sz w:val="22"/>
          <w:szCs w:val="22"/>
        </w:rPr>
        <w:t> </w:t>
      </w:r>
      <w:r w:rsidRPr="00C515DA">
        <w:rPr>
          <w:sz w:val="22"/>
          <w:szCs w:val="22"/>
          <w:lang w:val="ru-RU"/>
        </w:rPr>
        <w:t>налогам</w:t>
      </w:r>
      <w:r w:rsidRPr="00C515DA">
        <w:rPr>
          <w:lang w:val="ru-RU"/>
        </w:rPr>
        <w:br/>
      </w:r>
      <w:r w:rsidRPr="00C515DA">
        <w:rPr>
          <w:sz w:val="22"/>
          <w:szCs w:val="22"/>
          <w:lang w:val="ru-RU"/>
        </w:rPr>
        <w:t>и сборам Республики Беларусь</w:t>
      </w:r>
    </w:p>
    <w:p w:rsidR="00C515DA" w:rsidRPr="00C515DA" w:rsidRDefault="00C515DA" w:rsidP="00C515DA">
      <w:pPr>
        <w:spacing w:after="28"/>
        <w:rPr>
          <w:lang w:val="ru-RU"/>
        </w:rPr>
      </w:pPr>
      <w:r w:rsidRPr="00C515DA">
        <w:rPr>
          <w:sz w:val="22"/>
          <w:szCs w:val="22"/>
          <w:lang w:val="ru-RU"/>
        </w:rPr>
        <w:t>Оперативно-аналитический центр</w:t>
      </w:r>
      <w:r w:rsidRPr="00C515DA">
        <w:rPr>
          <w:lang w:val="ru-RU"/>
        </w:rPr>
        <w:br/>
      </w:r>
      <w:r w:rsidRPr="00C515DA">
        <w:rPr>
          <w:sz w:val="22"/>
          <w:szCs w:val="22"/>
          <w:lang w:val="ru-RU"/>
        </w:rPr>
        <w:t>при Президенте Республики Беларусь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698"/>
      </w:tblGrid>
      <w:tr w:rsidR="00C515DA" w:rsidRPr="003E0C21" w:rsidTr="001510B3">
        <w:tblPrEx>
          <w:tblCellMar>
            <w:top w:w="0" w:type="dxa"/>
            <w:bottom w:w="0" w:type="dxa"/>
          </w:tblCellMar>
        </w:tblPrEx>
        <w:tc>
          <w:tcPr>
            <w:tcW w:w="3561" w:type="pct"/>
          </w:tcPr>
          <w:p w:rsidR="00C515DA" w:rsidRDefault="00C515DA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C515DA" w:rsidRPr="003E0C21" w:rsidRDefault="00C515DA" w:rsidP="001510B3">
            <w:pPr>
              <w:spacing w:after="120"/>
              <w:rPr>
                <w:lang w:val="ru-RU"/>
              </w:rPr>
            </w:pPr>
            <w:r w:rsidRPr="003E0C21">
              <w:rPr>
                <w:sz w:val="22"/>
                <w:szCs w:val="22"/>
                <w:lang w:val="ru-RU"/>
              </w:rPr>
              <w:t>УТВЕРЖДЕНО</w:t>
            </w:r>
          </w:p>
          <w:p w:rsidR="00C515DA" w:rsidRPr="003E0C21" w:rsidRDefault="00C515DA" w:rsidP="001510B3">
            <w:pPr>
              <w:spacing w:after="60"/>
              <w:rPr>
                <w:lang w:val="ru-RU"/>
              </w:rPr>
            </w:pPr>
            <w:r w:rsidRPr="003E0C21">
              <w:rPr>
                <w:sz w:val="22"/>
                <w:szCs w:val="22"/>
                <w:lang w:val="ru-RU"/>
              </w:rPr>
              <w:t>Постановление</w:t>
            </w:r>
            <w:r w:rsidRPr="003E0C21">
              <w:rPr>
                <w:lang w:val="ru-RU"/>
              </w:rPr>
              <w:br/>
            </w:r>
            <w:r w:rsidRPr="003E0C21">
              <w:rPr>
                <w:sz w:val="22"/>
                <w:szCs w:val="22"/>
                <w:lang w:val="ru-RU"/>
              </w:rPr>
              <w:t>Министерства финансов</w:t>
            </w:r>
            <w:r w:rsidRPr="003E0C21">
              <w:rPr>
                <w:lang w:val="ru-RU"/>
              </w:rPr>
              <w:br/>
            </w:r>
            <w:r w:rsidRPr="003E0C21">
              <w:rPr>
                <w:sz w:val="22"/>
                <w:szCs w:val="22"/>
                <w:lang w:val="ru-RU"/>
              </w:rPr>
              <w:t>Республики Беларусь</w:t>
            </w:r>
            <w:r w:rsidRPr="003E0C21">
              <w:rPr>
                <w:lang w:val="ru-RU"/>
              </w:rPr>
              <w:br/>
            </w:r>
            <w:r w:rsidRPr="003E0C21">
              <w:rPr>
                <w:sz w:val="22"/>
                <w:szCs w:val="22"/>
                <w:lang w:val="ru-RU"/>
              </w:rPr>
              <w:t>21.03.2022 № 14</w:t>
            </w:r>
          </w:p>
        </w:tc>
      </w:tr>
    </w:tbl>
    <w:p w:rsidR="00C515DA" w:rsidRPr="003E0C21" w:rsidRDefault="00C515DA" w:rsidP="00C515DA">
      <w:pPr>
        <w:spacing w:before="240" w:after="240"/>
        <w:rPr>
          <w:lang w:val="ru-RU"/>
        </w:rPr>
      </w:pPr>
      <w:r w:rsidRPr="003E0C21">
        <w:rPr>
          <w:b/>
          <w:bCs/>
          <w:lang w:val="ru-RU"/>
        </w:rPr>
        <w:t>РЕГЛАМЕНТ</w:t>
      </w:r>
      <w:r w:rsidRPr="003E0C21">
        <w:rPr>
          <w:lang w:val="ru-RU"/>
        </w:rPr>
        <w:br/>
      </w:r>
      <w:r w:rsidRPr="003E0C21">
        <w:rPr>
          <w:b/>
          <w:bCs/>
          <w:lang w:val="ru-RU"/>
        </w:rPr>
        <w:t>административной процедуры, осуществляемой в отношении субъектов хозяйствования, по подпункту</w:t>
      </w:r>
      <w:r>
        <w:rPr>
          <w:b/>
          <w:bCs/>
        </w:rPr>
        <w:t> </w:t>
      </w:r>
      <w:r w:rsidRPr="003E0C21">
        <w:rPr>
          <w:b/>
          <w:bCs/>
          <w:lang w:val="ru-RU"/>
        </w:rPr>
        <w:t>14.11.2 «Получение справки о</w:t>
      </w:r>
      <w:r>
        <w:rPr>
          <w:b/>
          <w:bCs/>
        </w:rPr>
        <w:t> </w:t>
      </w:r>
      <w:r w:rsidRPr="003E0C21">
        <w:rPr>
          <w:b/>
          <w:bCs/>
          <w:lang w:val="ru-RU"/>
        </w:rPr>
        <w:t>расчетах по</w:t>
      </w:r>
      <w:r>
        <w:rPr>
          <w:b/>
          <w:bCs/>
        </w:rPr>
        <w:t> </w:t>
      </w:r>
      <w:r w:rsidRPr="003E0C21">
        <w:rPr>
          <w:b/>
          <w:bCs/>
          <w:lang w:val="ru-RU"/>
        </w:rPr>
        <w:t>полученным из</w:t>
      </w:r>
      <w:r>
        <w:rPr>
          <w:b/>
          <w:bCs/>
        </w:rPr>
        <w:t> </w:t>
      </w:r>
      <w:r w:rsidRPr="003E0C21">
        <w:rPr>
          <w:b/>
          <w:bCs/>
          <w:lang w:val="ru-RU"/>
        </w:rPr>
        <w:t>местного бюджета бюджетным займам, ссудам, исполненным гарантиям местных исполнительных и</w:t>
      </w:r>
      <w:r>
        <w:rPr>
          <w:b/>
          <w:bCs/>
        </w:rPr>
        <w:t> </w:t>
      </w:r>
      <w:r w:rsidRPr="003E0C21">
        <w:rPr>
          <w:b/>
          <w:bCs/>
          <w:lang w:val="ru-RU"/>
        </w:rPr>
        <w:t>распорядительных органов»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 w:rsidRPr="003E0C21">
        <w:rPr>
          <w:lang w:val="ru-RU"/>
        </w:rPr>
        <w:lastRenderedPageBreak/>
        <w:t>1.</w:t>
      </w:r>
      <w:r>
        <w:t> </w:t>
      </w:r>
      <w:r w:rsidRPr="003E0C21">
        <w:rPr>
          <w:lang w:val="ru-RU"/>
        </w:rPr>
        <w:t>Особенности осуществления административной процедуры: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 w:rsidRPr="003E0C21">
        <w:rPr>
          <w:lang w:val="ru-RU"/>
        </w:rPr>
        <w:t>1.1.</w:t>
      </w:r>
      <w:r>
        <w:t> </w:t>
      </w:r>
      <w:r w:rsidRPr="003E0C21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3E0C21">
        <w:rPr>
          <w:lang w:val="ru-RU"/>
        </w:rPr>
        <w:t>– главное финансовое управление областных исполнительных комитетов и</w:t>
      </w:r>
      <w:r>
        <w:t> </w:t>
      </w:r>
      <w:r w:rsidRPr="003E0C21">
        <w:rPr>
          <w:lang w:val="ru-RU"/>
        </w:rPr>
        <w:t>Минского городского исполнительного комитета, финансовые отделы (управления) районных и</w:t>
      </w:r>
      <w:r>
        <w:t> </w:t>
      </w:r>
      <w:r w:rsidRPr="003E0C21">
        <w:rPr>
          <w:lang w:val="ru-RU"/>
        </w:rPr>
        <w:t>городских исполнительных комитетов;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 w:rsidRPr="003E0C21">
        <w:rPr>
          <w:lang w:val="ru-RU"/>
        </w:rPr>
        <w:t>1.2.</w:t>
      </w:r>
      <w:r>
        <w:t> </w:t>
      </w:r>
      <w:r w:rsidRPr="003E0C21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 w:rsidRPr="003E0C21">
        <w:rPr>
          <w:lang w:val="ru-RU"/>
        </w:rPr>
        <w:t>Закон Республики Беларусь от</w:t>
      </w:r>
      <w:r>
        <w:t> </w:t>
      </w:r>
      <w:r w:rsidRPr="003E0C21">
        <w:rPr>
          <w:lang w:val="ru-RU"/>
        </w:rPr>
        <w:t>28</w:t>
      </w:r>
      <w:r>
        <w:t> </w:t>
      </w:r>
      <w:r w:rsidRPr="003E0C21">
        <w:rPr>
          <w:lang w:val="ru-RU"/>
        </w:rPr>
        <w:t>октября 2008</w:t>
      </w:r>
      <w:r>
        <w:t> </w:t>
      </w:r>
      <w:r w:rsidRPr="003E0C21">
        <w:rPr>
          <w:lang w:val="ru-RU"/>
        </w:rPr>
        <w:t>г. №</w:t>
      </w:r>
      <w:r>
        <w:t> </w:t>
      </w:r>
      <w:r w:rsidRPr="003E0C21">
        <w:rPr>
          <w:lang w:val="ru-RU"/>
        </w:rPr>
        <w:t>433-З «Об</w:t>
      </w:r>
      <w:r>
        <w:t> </w:t>
      </w:r>
      <w:r w:rsidRPr="003E0C21">
        <w:rPr>
          <w:lang w:val="ru-RU"/>
        </w:rPr>
        <w:t>основах административных процедур»;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 w:rsidRPr="003E0C21">
        <w:rPr>
          <w:lang w:val="ru-RU"/>
        </w:rPr>
        <w:t>Указ Президента Республики Беларусь от</w:t>
      </w:r>
      <w:r>
        <w:t> </w:t>
      </w:r>
      <w:r w:rsidRPr="003E0C21">
        <w:rPr>
          <w:lang w:val="ru-RU"/>
        </w:rPr>
        <w:t>25</w:t>
      </w:r>
      <w:r>
        <w:t> </w:t>
      </w:r>
      <w:r w:rsidRPr="003E0C21">
        <w:rPr>
          <w:lang w:val="ru-RU"/>
        </w:rPr>
        <w:t>июня 2021</w:t>
      </w:r>
      <w:r>
        <w:t> </w:t>
      </w:r>
      <w:r w:rsidRPr="003E0C21">
        <w:rPr>
          <w:lang w:val="ru-RU"/>
        </w:rPr>
        <w:t>г. №</w:t>
      </w:r>
      <w:r>
        <w:t> </w:t>
      </w:r>
      <w:r w:rsidRPr="003E0C21">
        <w:rPr>
          <w:lang w:val="ru-RU"/>
        </w:rPr>
        <w:t>240 «Об</w:t>
      </w:r>
      <w:r>
        <w:t> </w:t>
      </w:r>
      <w:r w:rsidRPr="003E0C21">
        <w:rPr>
          <w:lang w:val="ru-RU"/>
        </w:rPr>
        <w:t>административных процедурах, осуществляемых в</w:t>
      </w:r>
      <w:r>
        <w:t> </w:t>
      </w:r>
      <w:r w:rsidRPr="003E0C21">
        <w:rPr>
          <w:lang w:val="ru-RU"/>
        </w:rPr>
        <w:t>отношении субъектов хозяйствования»;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 w:rsidRPr="003E0C21">
        <w:rPr>
          <w:lang w:val="ru-RU"/>
        </w:rPr>
        <w:t>постановление Совета Министров Республики Беларусь от</w:t>
      </w:r>
      <w:r>
        <w:t> </w:t>
      </w:r>
      <w:r w:rsidRPr="003E0C21">
        <w:rPr>
          <w:lang w:val="ru-RU"/>
        </w:rPr>
        <w:t>24</w:t>
      </w:r>
      <w:r>
        <w:t> </w:t>
      </w:r>
      <w:r w:rsidRPr="003E0C21">
        <w:rPr>
          <w:lang w:val="ru-RU"/>
        </w:rPr>
        <w:t>сентября 2021</w:t>
      </w:r>
      <w:r>
        <w:t> </w:t>
      </w:r>
      <w:r w:rsidRPr="003E0C21">
        <w:rPr>
          <w:lang w:val="ru-RU"/>
        </w:rPr>
        <w:t>г. №</w:t>
      </w:r>
      <w:r>
        <w:t> </w:t>
      </w:r>
      <w:r w:rsidRPr="003E0C21">
        <w:rPr>
          <w:lang w:val="ru-RU"/>
        </w:rPr>
        <w:t>548 «Об</w:t>
      </w:r>
      <w:r>
        <w:t> </w:t>
      </w:r>
      <w:r w:rsidRPr="003E0C21">
        <w:rPr>
          <w:lang w:val="ru-RU"/>
        </w:rPr>
        <w:t>административных процедурах, осуществляемых в</w:t>
      </w:r>
      <w:r>
        <w:t> </w:t>
      </w:r>
      <w:r w:rsidRPr="003E0C21">
        <w:rPr>
          <w:lang w:val="ru-RU"/>
        </w:rPr>
        <w:t>отношении субъектов хозяйствования».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 w:rsidRPr="003E0C21">
        <w:rPr>
          <w:lang w:val="ru-RU"/>
        </w:rPr>
        <w:t>2.</w:t>
      </w:r>
      <w:r>
        <w:t> </w:t>
      </w:r>
      <w:r w:rsidRPr="003E0C21">
        <w:rPr>
          <w:lang w:val="ru-RU"/>
        </w:rPr>
        <w:t>Документы и</w:t>
      </w:r>
      <w:r>
        <w:t> </w:t>
      </w:r>
      <w:r w:rsidRPr="003E0C21">
        <w:rPr>
          <w:lang w:val="ru-RU"/>
        </w:rPr>
        <w:t>(или) сведения, необходимые для</w:t>
      </w:r>
      <w:r>
        <w:t> </w:t>
      </w:r>
      <w:r w:rsidRPr="003E0C21">
        <w:rPr>
          <w:lang w:val="ru-RU"/>
        </w:rPr>
        <w:t>осуществления административной процедуры, представляемые заинтересованным лицом: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0"/>
        <w:gridCol w:w="3666"/>
        <w:gridCol w:w="3219"/>
      </w:tblGrid>
      <w:tr w:rsidR="00C515DA" w:rsidRPr="003E0C21" w:rsidTr="001510B3">
        <w:tblPrEx>
          <w:tblCellMar>
            <w:top w:w="0" w:type="dxa"/>
            <w:bottom w:w="0" w:type="dxa"/>
          </w:tblCellMar>
        </w:tblPrEx>
        <w:tc>
          <w:tcPr>
            <w:tcW w:w="1328" w:type="pct"/>
            <w:tcBorders>
              <w:bottom w:val="single" w:sz="5" w:space="0" w:color="000000"/>
              <w:right w:val="single" w:sz="5" w:space="0" w:color="000000"/>
            </w:tcBorders>
          </w:tcPr>
          <w:p w:rsidR="00C515DA" w:rsidRPr="003E0C21" w:rsidRDefault="00C515DA" w:rsidP="001510B3">
            <w:pPr>
              <w:spacing w:before="45" w:after="45" w:line="240" w:lineRule="auto"/>
              <w:rPr>
                <w:lang w:val="ru-RU"/>
              </w:rPr>
            </w:pPr>
            <w:r w:rsidRPr="003E0C21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95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5DA" w:rsidRPr="003E0C21" w:rsidRDefault="00C515DA" w:rsidP="001510B3">
            <w:pPr>
              <w:spacing w:before="45" w:after="45" w:line="240" w:lineRule="auto"/>
              <w:rPr>
                <w:lang w:val="ru-RU"/>
              </w:rPr>
            </w:pPr>
            <w:r w:rsidRPr="003E0C21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717" w:type="pct"/>
            <w:tcBorders>
              <w:left w:val="single" w:sz="5" w:space="0" w:color="000000"/>
              <w:bottom w:val="single" w:sz="5" w:space="0" w:color="000000"/>
            </w:tcBorders>
          </w:tcPr>
          <w:p w:rsidR="00C515DA" w:rsidRPr="003E0C21" w:rsidRDefault="00C515DA" w:rsidP="001510B3">
            <w:pPr>
              <w:spacing w:before="45" w:after="45" w:line="240" w:lineRule="auto"/>
              <w:rPr>
                <w:lang w:val="ru-RU"/>
              </w:rPr>
            </w:pPr>
            <w:r w:rsidRPr="003E0C21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C515DA" w:rsidRPr="003E0C21" w:rsidTr="001510B3">
        <w:tblPrEx>
          <w:tblCellMar>
            <w:top w:w="0" w:type="dxa"/>
            <w:bottom w:w="0" w:type="dxa"/>
          </w:tblCellMar>
        </w:tblPrEx>
        <w:tc>
          <w:tcPr>
            <w:tcW w:w="1328" w:type="pct"/>
            <w:tcBorders>
              <w:top w:val="single" w:sz="5" w:space="0" w:color="000000"/>
              <w:right w:val="single" w:sz="5" w:space="0" w:color="000000"/>
            </w:tcBorders>
          </w:tcPr>
          <w:p w:rsidR="00C515DA" w:rsidRDefault="00C515DA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95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15DA" w:rsidRPr="003E0C21" w:rsidRDefault="00C515DA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3E0C21">
              <w:rPr>
                <w:sz w:val="20"/>
                <w:szCs w:val="20"/>
                <w:lang w:val="ru-RU"/>
              </w:rPr>
              <w:t>должно содержать следующие сведения:</w:t>
            </w:r>
            <w:r w:rsidRPr="003E0C21">
              <w:rPr>
                <w:lang w:val="ru-RU"/>
              </w:rPr>
              <w:br/>
            </w:r>
            <w:r w:rsidRPr="003E0C21">
              <w:rPr>
                <w:lang w:val="ru-RU"/>
              </w:rPr>
              <w:br/>
            </w:r>
            <w:r w:rsidRPr="003E0C21">
              <w:rPr>
                <w:sz w:val="20"/>
                <w:szCs w:val="20"/>
                <w:lang w:val="ru-RU"/>
              </w:rPr>
              <w:t>полное (сокращенное) наименование, учетный номер плательщика, юридический (фактический) адрес, дата (на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которую должна быть сформирована справка), получатель справки (в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адрес которого данная справка должна быть направлена), его почтовый адрес, контактный телефон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– для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юридического лица;</w:t>
            </w:r>
            <w:proofErr w:type="gramEnd"/>
            <w:r w:rsidRPr="003E0C21">
              <w:rPr>
                <w:lang w:val="ru-RU"/>
              </w:rPr>
              <w:br/>
            </w:r>
            <w:r w:rsidRPr="003E0C21">
              <w:rPr>
                <w:lang w:val="ru-RU"/>
              </w:rPr>
              <w:br/>
            </w:r>
            <w:r w:rsidRPr="003E0C21">
              <w:rPr>
                <w:sz w:val="20"/>
                <w:szCs w:val="20"/>
                <w:lang w:val="ru-RU"/>
              </w:rPr>
              <w:t>фамилия, собственное имя, отчество (при его наличии), учетный номер плательщика, место жительства, дата (на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которую должна быть сформирована справка), получатель справки (в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адрес которого данная справка должна быть направлена), его почтовый адрес, контактный телефон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– для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индивидуального предпринимателя</w:t>
            </w:r>
          </w:p>
        </w:tc>
        <w:tc>
          <w:tcPr>
            <w:tcW w:w="1717" w:type="pct"/>
            <w:tcBorders>
              <w:top w:val="single" w:sz="5" w:space="0" w:color="000000"/>
              <w:left w:val="single" w:sz="5" w:space="0" w:color="000000"/>
            </w:tcBorders>
          </w:tcPr>
          <w:p w:rsidR="00C515DA" w:rsidRPr="003E0C21" w:rsidRDefault="00C515DA" w:rsidP="001510B3">
            <w:pPr>
              <w:spacing w:before="45" w:after="45" w:line="240" w:lineRule="auto"/>
              <w:rPr>
                <w:lang w:val="ru-RU"/>
              </w:rPr>
            </w:pPr>
            <w:r w:rsidRPr="003E0C21">
              <w:rPr>
                <w:sz w:val="20"/>
                <w:szCs w:val="20"/>
                <w:lang w:val="ru-RU"/>
              </w:rPr>
              <w:t>в письменной форме:</w:t>
            </w:r>
            <w:r w:rsidRPr="003E0C21">
              <w:rPr>
                <w:lang w:val="ru-RU"/>
              </w:rPr>
              <w:br/>
            </w:r>
            <w:r w:rsidRPr="003E0C21">
              <w:rPr>
                <w:lang w:val="ru-RU"/>
              </w:rPr>
              <w:br/>
            </w:r>
            <w:r w:rsidRPr="003E0C21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  <w:r w:rsidRPr="003E0C21">
              <w:rPr>
                <w:lang w:val="ru-RU"/>
              </w:rPr>
              <w:br/>
            </w:r>
            <w:r w:rsidRPr="003E0C21">
              <w:rPr>
                <w:lang w:val="ru-RU"/>
              </w:rPr>
              <w:br/>
            </w:r>
            <w:r w:rsidRPr="003E0C21">
              <w:rPr>
                <w:sz w:val="20"/>
                <w:szCs w:val="20"/>
                <w:lang w:val="ru-RU"/>
              </w:rPr>
              <w:t>нарочным (курьером);</w:t>
            </w:r>
            <w:r w:rsidRPr="003E0C21">
              <w:rPr>
                <w:lang w:val="ru-RU"/>
              </w:rPr>
              <w:br/>
            </w:r>
            <w:r w:rsidRPr="003E0C21">
              <w:rPr>
                <w:lang w:val="ru-RU"/>
              </w:rPr>
              <w:br/>
            </w:r>
            <w:r w:rsidRPr="003E0C21">
              <w:rPr>
                <w:sz w:val="20"/>
                <w:szCs w:val="20"/>
                <w:lang w:val="ru-RU"/>
              </w:rPr>
              <w:t>по почте</w:t>
            </w:r>
          </w:p>
        </w:tc>
      </w:tr>
    </w:tbl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>
        <w:t> 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 w:rsidRPr="003E0C21">
        <w:rPr>
          <w:lang w:val="ru-RU"/>
        </w:rPr>
        <w:t>При подаче заявления уполномоченный орган вправе потребовать от</w:t>
      </w:r>
      <w:r>
        <w:t> </w:t>
      </w:r>
      <w:r w:rsidRPr="003E0C21">
        <w:rPr>
          <w:lang w:val="ru-RU"/>
        </w:rPr>
        <w:t>заинтересованного лица документы, предусмотренные в</w:t>
      </w:r>
      <w:r>
        <w:t> </w:t>
      </w:r>
      <w:r w:rsidRPr="003E0C21">
        <w:rPr>
          <w:lang w:val="ru-RU"/>
        </w:rPr>
        <w:t>абзацах втором–седьмом части первой пункта</w:t>
      </w:r>
      <w:r>
        <w:t> </w:t>
      </w:r>
      <w:r w:rsidRPr="003E0C21">
        <w:rPr>
          <w:lang w:val="ru-RU"/>
        </w:rPr>
        <w:t>2 статьи</w:t>
      </w:r>
      <w:r>
        <w:t> </w:t>
      </w:r>
      <w:r w:rsidRPr="003E0C21">
        <w:rPr>
          <w:lang w:val="ru-RU"/>
        </w:rPr>
        <w:t>15 Закона Республики Беларусь «Об</w:t>
      </w:r>
      <w:r>
        <w:t> </w:t>
      </w:r>
      <w:r w:rsidRPr="003E0C21">
        <w:rPr>
          <w:lang w:val="ru-RU"/>
        </w:rPr>
        <w:t>основах административных процедур».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 w:rsidRPr="003E0C21">
        <w:rPr>
          <w:lang w:val="ru-RU"/>
        </w:rPr>
        <w:lastRenderedPageBreak/>
        <w:t>3.</w:t>
      </w:r>
      <w:r>
        <w:t> </w:t>
      </w:r>
      <w:r w:rsidRPr="003E0C21">
        <w:rPr>
          <w:lang w:val="ru-RU"/>
        </w:rPr>
        <w:t>Сведения о</w:t>
      </w:r>
      <w:r>
        <w:t> </w:t>
      </w:r>
      <w:r w:rsidRPr="003E0C21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3E0C21">
        <w:rPr>
          <w:lang w:val="ru-RU"/>
        </w:rPr>
        <w:t>результатам осуществления административной процедуры: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2376"/>
        <w:gridCol w:w="3394"/>
      </w:tblGrid>
      <w:tr w:rsidR="00C515DA" w:rsidTr="001510B3">
        <w:tblPrEx>
          <w:tblCellMar>
            <w:top w:w="0" w:type="dxa"/>
            <w:bottom w:w="0" w:type="dxa"/>
          </w:tblCellMar>
        </w:tblPrEx>
        <w:tc>
          <w:tcPr>
            <w:tcW w:w="1923" w:type="pct"/>
            <w:tcBorders>
              <w:bottom w:val="single" w:sz="5" w:space="0" w:color="000000"/>
              <w:right w:val="single" w:sz="5" w:space="0" w:color="000000"/>
            </w:tcBorders>
          </w:tcPr>
          <w:p w:rsidR="00C515DA" w:rsidRDefault="00C515DA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26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15DA" w:rsidRDefault="00C515DA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811" w:type="pct"/>
            <w:tcBorders>
              <w:left w:val="single" w:sz="5" w:space="0" w:color="000000"/>
              <w:bottom w:val="single" w:sz="5" w:space="0" w:color="000000"/>
            </w:tcBorders>
          </w:tcPr>
          <w:p w:rsidR="00C515DA" w:rsidRDefault="00C515DA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C515DA" w:rsidTr="001510B3">
        <w:tblPrEx>
          <w:tblCellMar>
            <w:top w:w="0" w:type="dxa"/>
            <w:bottom w:w="0" w:type="dxa"/>
          </w:tblCellMar>
        </w:tblPrEx>
        <w:tc>
          <w:tcPr>
            <w:tcW w:w="1923" w:type="pct"/>
            <w:tcBorders>
              <w:top w:val="single" w:sz="5" w:space="0" w:color="000000"/>
              <w:right w:val="single" w:sz="5" w:space="0" w:color="000000"/>
            </w:tcBorders>
          </w:tcPr>
          <w:p w:rsidR="00C515DA" w:rsidRPr="003E0C21" w:rsidRDefault="00C515DA" w:rsidP="001510B3">
            <w:pPr>
              <w:spacing w:before="45" w:after="45" w:line="240" w:lineRule="auto"/>
              <w:rPr>
                <w:lang w:val="ru-RU"/>
              </w:rPr>
            </w:pPr>
            <w:r w:rsidRPr="003E0C21">
              <w:rPr>
                <w:sz w:val="20"/>
                <w:szCs w:val="20"/>
                <w:lang w:val="ru-RU"/>
              </w:rPr>
              <w:t>справка о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расчетах по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полученным из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местного бюджета бюджетным займам, ссудам, исполненным гарантиям</w:t>
            </w:r>
          </w:p>
        </w:tc>
        <w:tc>
          <w:tcPr>
            <w:tcW w:w="126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15DA" w:rsidRDefault="00C515DA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811" w:type="pct"/>
            <w:tcBorders>
              <w:top w:val="single" w:sz="5" w:space="0" w:color="000000"/>
              <w:left w:val="single" w:sz="5" w:space="0" w:color="000000"/>
            </w:tcBorders>
          </w:tcPr>
          <w:p w:rsidR="00C515DA" w:rsidRDefault="00C515DA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C515DA" w:rsidRDefault="00C515DA" w:rsidP="00C515DA">
      <w:pPr>
        <w:spacing w:after="60"/>
        <w:ind w:firstLine="566"/>
        <w:jc w:val="both"/>
      </w:pPr>
      <w:r>
        <w:t> 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 w:rsidRPr="003E0C21">
        <w:rPr>
          <w:lang w:val="ru-RU"/>
        </w:rPr>
        <w:t>4.</w:t>
      </w:r>
      <w:r>
        <w:t> </w:t>
      </w:r>
      <w:r w:rsidRPr="003E0C21">
        <w:rPr>
          <w:lang w:val="ru-RU"/>
        </w:rPr>
        <w:t>Порядок подачи (отзыва) административной жалобы:</w:t>
      </w:r>
    </w:p>
    <w:p w:rsidR="00C515DA" w:rsidRPr="003E0C21" w:rsidRDefault="00C515DA" w:rsidP="00C515D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628"/>
      </w:tblGrid>
      <w:tr w:rsidR="00C515DA" w:rsidRPr="003E0C21" w:rsidTr="001510B3">
        <w:tblPrEx>
          <w:tblCellMar>
            <w:top w:w="0" w:type="dxa"/>
            <w:bottom w:w="0" w:type="dxa"/>
          </w:tblCellMar>
        </w:tblPrEx>
        <w:tc>
          <w:tcPr>
            <w:tcW w:w="2532" w:type="pct"/>
            <w:tcBorders>
              <w:bottom w:val="single" w:sz="5" w:space="0" w:color="000000"/>
              <w:right w:val="single" w:sz="5" w:space="0" w:color="000000"/>
            </w:tcBorders>
          </w:tcPr>
          <w:p w:rsidR="00C515DA" w:rsidRPr="003E0C21" w:rsidRDefault="00C515DA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E0C21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68" w:type="pct"/>
            <w:tcBorders>
              <w:left w:val="single" w:sz="5" w:space="0" w:color="000000"/>
              <w:bottom w:val="single" w:sz="5" w:space="0" w:color="000000"/>
            </w:tcBorders>
          </w:tcPr>
          <w:p w:rsidR="00C515DA" w:rsidRPr="003E0C21" w:rsidRDefault="00C515DA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E0C21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C515DA" w:rsidTr="001510B3">
        <w:tblPrEx>
          <w:tblCellMar>
            <w:top w:w="0" w:type="dxa"/>
            <w:bottom w:w="0" w:type="dxa"/>
          </w:tblCellMar>
        </w:tblPrEx>
        <w:tc>
          <w:tcPr>
            <w:tcW w:w="2532" w:type="pct"/>
            <w:tcBorders>
              <w:top w:val="single" w:sz="5" w:space="0" w:color="000000"/>
              <w:right w:val="single" w:sz="5" w:space="0" w:color="000000"/>
            </w:tcBorders>
          </w:tcPr>
          <w:p w:rsidR="00C515DA" w:rsidRPr="003E0C21" w:rsidRDefault="00C515DA" w:rsidP="001510B3">
            <w:pPr>
              <w:spacing w:before="45" w:after="45" w:line="240" w:lineRule="auto"/>
              <w:rPr>
                <w:lang w:val="ru-RU"/>
              </w:rPr>
            </w:pPr>
            <w:r w:rsidRPr="003E0C21">
              <w:rPr>
                <w:sz w:val="20"/>
                <w:szCs w:val="20"/>
                <w:lang w:val="ru-RU"/>
              </w:rPr>
              <w:t>Министерство финансов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случае обжалования решения главного финансового управления областных исполнительных комитетов и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Минского городского исполнительного комитета;</w:t>
            </w:r>
            <w:r w:rsidRPr="003E0C21">
              <w:rPr>
                <w:lang w:val="ru-RU"/>
              </w:rPr>
              <w:br/>
            </w:r>
            <w:r w:rsidRPr="003E0C21">
              <w:rPr>
                <w:lang w:val="ru-RU"/>
              </w:rPr>
              <w:br/>
            </w:r>
            <w:r w:rsidRPr="003E0C21">
              <w:rPr>
                <w:sz w:val="20"/>
                <w:szCs w:val="20"/>
                <w:lang w:val="ru-RU"/>
              </w:rPr>
              <w:t>главные финансовые управления областных исполнительных комитетов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случае обжалования решений финансовых отделов (управлений) районных и</w:t>
            </w:r>
            <w:r>
              <w:rPr>
                <w:sz w:val="20"/>
                <w:szCs w:val="20"/>
              </w:rPr>
              <w:t> </w:t>
            </w:r>
            <w:r w:rsidRPr="003E0C21">
              <w:rPr>
                <w:sz w:val="20"/>
                <w:szCs w:val="20"/>
                <w:lang w:val="ru-RU"/>
              </w:rPr>
              <w:t>городских исполнительных комитетов</w:t>
            </w:r>
          </w:p>
        </w:tc>
        <w:tc>
          <w:tcPr>
            <w:tcW w:w="2468" w:type="pct"/>
            <w:tcBorders>
              <w:top w:val="single" w:sz="5" w:space="0" w:color="000000"/>
              <w:left w:val="single" w:sz="5" w:space="0" w:color="000000"/>
            </w:tcBorders>
          </w:tcPr>
          <w:p w:rsidR="00C515DA" w:rsidRDefault="00C515DA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8308F3" w:rsidRPr="00C515DA" w:rsidRDefault="008308F3">
      <w:pPr>
        <w:rPr>
          <w:lang w:val="ru-RU"/>
        </w:rPr>
      </w:pPr>
      <w:bookmarkStart w:id="0" w:name="_GoBack"/>
      <w:bookmarkEnd w:id="0"/>
    </w:p>
    <w:sectPr w:rsidR="008308F3" w:rsidRPr="00C5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1C"/>
    <w:rsid w:val="008308F3"/>
    <w:rsid w:val="0091541C"/>
    <w:rsid w:val="00C515DA"/>
    <w:rsid w:val="00E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5D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DA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5D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D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2022-08-26T07:30:00Z</dcterms:created>
  <dcterms:modified xsi:type="dcterms:W3CDTF">2022-08-26T07:30:00Z</dcterms:modified>
</cp:coreProperties>
</file>