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212"/>
      </w:tblGrid>
      <w:tr w:rsidR="009E3BB5" w:rsidRPr="00124B3C" w:rsidTr="001510B3">
        <w:tc>
          <w:tcPr>
            <w:tcW w:w="600" w:type="dxa"/>
          </w:tcPr>
          <w:p w:rsidR="009E3BB5" w:rsidRDefault="009E3BB5" w:rsidP="001510B3">
            <w:r>
              <w:rPr>
                <w:noProof/>
                <w:lang w:val="ru-RU"/>
              </w:rPr>
              <w:drawing>
                <wp:inline distT="0" distB="0" distL="0" distR="0" wp14:anchorId="6557FAAB" wp14:editId="7B3865BB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9E3BB5" w:rsidRPr="00D50433" w:rsidRDefault="009E3BB5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9E3BB5" w:rsidRPr="00D50433" w:rsidRDefault="009E3BB5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9E3BB5" w:rsidRPr="00D50433" w:rsidRDefault="009E3BB5" w:rsidP="009E3BB5">
      <w:pPr>
        <w:rPr>
          <w:lang w:val="ru-RU"/>
        </w:rPr>
      </w:pPr>
    </w:p>
    <w:p w:rsidR="009E3BB5" w:rsidRPr="00B42140" w:rsidRDefault="009E3BB5" w:rsidP="009E3BB5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9E3BB5" w:rsidRPr="00D50433" w:rsidRDefault="009E3BB5" w:rsidP="009E3BB5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9E3BB5" w:rsidRPr="00D50433" w:rsidRDefault="009E3BB5" w:rsidP="009E3BB5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9E3BB5" w:rsidRPr="00B42140" w:rsidRDefault="009E3BB5" w:rsidP="009E3BB5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16.6.1 «Получение решения о</w:t>
      </w:r>
      <w:r>
        <w:t> </w:t>
      </w:r>
      <w:r w:rsidRPr="00D50433">
        <w:rPr>
          <w:lang w:val="ru-RU"/>
        </w:rPr>
        <w:t xml:space="preserve">переводе жилого помещения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нежилое» (прилагается);</w:t>
      </w:r>
    </w:p>
    <w:p w:rsidR="009E3BB5" w:rsidRPr="00D50433" w:rsidRDefault="009E3BB5" w:rsidP="009E3BB5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9E3BB5" w:rsidRPr="00D50433" w:rsidRDefault="009E3BB5" w:rsidP="009E3BB5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9E3BB5" w:rsidTr="001510B3">
        <w:tc>
          <w:tcPr>
            <w:tcW w:w="2500" w:type="pct"/>
            <w:vAlign w:val="bottom"/>
          </w:tcPr>
          <w:p w:rsidR="009E3BB5" w:rsidRDefault="009E3BB5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9E3BB5" w:rsidRDefault="009E3BB5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9E3BB5" w:rsidRDefault="009E3BB5" w:rsidP="009E3BB5">
      <w:pPr>
        <w:spacing w:after="60"/>
        <w:jc w:val="both"/>
      </w:pPr>
      <w:r>
        <w:t> </w:t>
      </w:r>
    </w:p>
    <w:p w:rsidR="009E3BB5" w:rsidRDefault="009E3BB5" w:rsidP="009E3BB5">
      <w:pPr>
        <w:spacing w:after="28"/>
      </w:pPr>
      <w:r>
        <w:rPr>
          <w:sz w:val="22"/>
          <w:szCs w:val="22"/>
        </w:rPr>
        <w:t>СОГЛАСОВАНО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9E3BB5" w:rsidRDefault="009E3BB5" w:rsidP="009E3BB5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9E3BB5" w:rsidRDefault="009E3BB5" w:rsidP="009E3BB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9E3BB5" w:rsidRDefault="009E3BB5" w:rsidP="009E3BB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9E3BB5" w:rsidRDefault="009E3BB5" w:rsidP="009E3BB5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9E3BB5" w:rsidRDefault="009E3BB5" w:rsidP="009E3BB5">
      <w:pPr>
        <w:spacing w:after="28"/>
      </w:pPr>
      <w:r>
        <w:rPr>
          <w:sz w:val="22"/>
          <w:szCs w:val="22"/>
        </w:rPr>
        <w:t> </w:t>
      </w:r>
    </w:p>
    <w:p w:rsidR="009E3BB5" w:rsidRDefault="009E3BB5" w:rsidP="009E3BB5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9E3BB5" w:rsidRDefault="009E3BB5" w:rsidP="009E3BB5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Витебский областной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Гомельский областной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Гродненский областной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Минский областной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Минский городской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Могилевский областной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исполнительный комитет</w:t>
      </w:r>
    </w:p>
    <w:p w:rsidR="009E3BB5" w:rsidRPr="009E3BB5" w:rsidRDefault="009E3BB5" w:rsidP="009E3BB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Государственное учреждение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«Администрация Китайско-</w:t>
      </w:r>
    </w:p>
    <w:p w:rsidR="009E3BB5" w:rsidRPr="009E3BB5" w:rsidRDefault="009E3BB5" w:rsidP="009E3BB5">
      <w:pPr>
        <w:spacing w:after="28"/>
        <w:rPr>
          <w:lang w:val="ru-RU"/>
        </w:rPr>
      </w:pPr>
      <w:r w:rsidRPr="009E3BB5">
        <w:rPr>
          <w:sz w:val="22"/>
          <w:szCs w:val="22"/>
          <w:lang w:val="ru-RU"/>
        </w:rPr>
        <w:t>Белорусского индустриального</w:t>
      </w:r>
    </w:p>
    <w:p w:rsidR="009E3BB5" w:rsidRDefault="009E3BB5" w:rsidP="009E3BB5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8308F3" w:rsidRDefault="008308F3">
      <w:pPr>
        <w:rPr>
          <w:lang w:val="ru-RU"/>
        </w:rPr>
      </w:pPr>
    </w:p>
    <w:p w:rsidR="009E3BB5" w:rsidRDefault="009E3BB5">
      <w:pPr>
        <w:rPr>
          <w:lang w:val="ru-RU"/>
        </w:rPr>
      </w:pPr>
    </w:p>
    <w:p w:rsidR="009E3BB5" w:rsidRDefault="009E3BB5">
      <w:pPr>
        <w:rPr>
          <w:lang w:val="ru-RU"/>
        </w:rPr>
      </w:pPr>
    </w:p>
    <w:p w:rsidR="009E3BB5" w:rsidRDefault="009E3BB5">
      <w:pPr>
        <w:rPr>
          <w:lang w:val="ru-RU"/>
        </w:rPr>
      </w:pPr>
    </w:p>
    <w:p w:rsidR="009E3BB5" w:rsidRDefault="009E3BB5">
      <w:pPr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9E3BB5" w:rsidTr="001510B3">
        <w:tc>
          <w:tcPr>
            <w:tcW w:w="3561" w:type="pct"/>
          </w:tcPr>
          <w:p w:rsidR="009E3BB5" w:rsidRDefault="009E3BB5" w:rsidP="001510B3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</w:tcPr>
          <w:p w:rsidR="009E3BB5" w:rsidRDefault="009E3BB5" w:rsidP="001510B3">
            <w:pPr>
              <w:spacing w:after="120"/>
              <w:rPr>
                <w:sz w:val="22"/>
                <w:szCs w:val="22"/>
                <w:lang w:val="ru-RU"/>
              </w:rPr>
            </w:pPr>
          </w:p>
          <w:p w:rsidR="009E3BB5" w:rsidRPr="00D50433" w:rsidRDefault="009E3BB5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9E3BB5" w:rsidRPr="00D50433" w:rsidRDefault="009E3BB5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9E3BB5" w:rsidRDefault="009E3BB5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9E3BB5" w:rsidRPr="00D50433" w:rsidRDefault="009E3BB5" w:rsidP="009E3BB5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16.6.1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переводе жилого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 xml:space="preserve">помещения </w:t>
      </w:r>
      <w:proofErr w:type="gramStart"/>
      <w:r w:rsidRPr="00D50433">
        <w:rPr>
          <w:b/>
          <w:bCs/>
          <w:lang w:val="ru-RU"/>
        </w:rPr>
        <w:t>в</w:t>
      </w:r>
      <w:proofErr w:type="gramEnd"/>
      <w:r>
        <w:rPr>
          <w:b/>
          <w:bCs/>
        </w:rPr>
        <w:t> </w:t>
      </w:r>
      <w:r w:rsidRPr="00D50433">
        <w:rPr>
          <w:b/>
          <w:bCs/>
          <w:lang w:val="ru-RU"/>
        </w:rPr>
        <w:t>нежилое»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1.4.1.</w:t>
      </w:r>
      <w:r>
        <w:t> </w:t>
      </w:r>
      <w:r w:rsidRPr="00D50433">
        <w:rPr>
          <w:lang w:val="ru-RU"/>
        </w:rPr>
        <w:t>дополнительные основания для</w:t>
      </w:r>
      <w:r>
        <w:t> </w:t>
      </w:r>
      <w:r w:rsidRPr="00D50433">
        <w:rPr>
          <w:lang w:val="ru-RU"/>
        </w:rPr>
        <w:t>отказа в</w:t>
      </w:r>
      <w:r>
        <w:t> </w:t>
      </w:r>
      <w:r w:rsidRPr="00D50433">
        <w:rPr>
          <w:lang w:val="ru-RU"/>
        </w:rPr>
        <w:t>осуществлении административной процедуры к</w:t>
      </w:r>
      <w:r>
        <w:t> </w:t>
      </w:r>
      <w:proofErr w:type="gramStart"/>
      <w:r w:rsidRPr="00D50433">
        <w:rPr>
          <w:lang w:val="ru-RU"/>
        </w:rPr>
        <w:t>указанным</w:t>
      </w:r>
      <w:proofErr w:type="gramEnd"/>
      <w:r w:rsidRPr="00D50433">
        <w:rPr>
          <w:lang w:val="ru-RU"/>
        </w:rPr>
        <w:t xml:space="preserve"> в</w:t>
      </w:r>
      <w:r>
        <w:t> </w:t>
      </w:r>
      <w:r w:rsidRPr="00D50433">
        <w:rPr>
          <w:lang w:val="ru-RU"/>
        </w:rPr>
        <w:t>Законе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 определены в</w:t>
      </w:r>
      <w:r>
        <w:t> </w:t>
      </w:r>
      <w:r w:rsidRPr="00D50433">
        <w:rPr>
          <w:lang w:val="ru-RU"/>
        </w:rPr>
        <w:t>части второй пункта</w:t>
      </w:r>
      <w:r>
        <w:t> </w:t>
      </w:r>
      <w:r w:rsidRPr="00D50433">
        <w:rPr>
          <w:lang w:val="ru-RU"/>
        </w:rPr>
        <w:t>5 статьи</w:t>
      </w:r>
      <w:r>
        <w:t> </w:t>
      </w:r>
      <w:r w:rsidRPr="00D50433">
        <w:rPr>
          <w:lang w:val="ru-RU"/>
        </w:rPr>
        <w:t>21 Жилищного кодекса Республики Беларусь;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9E3BB5" w:rsidRDefault="009E3BB5" w:rsidP="009E3BB5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9E3BB5" w:rsidRDefault="009E3BB5" w:rsidP="009E3BB5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6"/>
        <w:gridCol w:w="3264"/>
      </w:tblGrid>
      <w:tr w:rsidR="009E3BB5" w:rsidRPr="00124B3C" w:rsidTr="001510B3">
        <w:tc>
          <w:tcPr>
            <w:tcW w:w="2349" w:type="pct"/>
            <w:tcBorders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1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741" w:type="pct"/>
            <w:tcBorders>
              <w:left w:val="single" w:sz="5" w:space="0" w:color="000000"/>
              <w:bottom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9E3BB5" w:rsidRPr="00124B3C" w:rsidTr="001510B3"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«Администрация Китайско-Белорусского индустриального парка «Великий камень»: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9E3BB5" w:rsidTr="001510B3">
        <w:trPr>
          <w:gridAfter w:val="1"/>
          <w:wAfter w:w="1741" w:type="dxa"/>
        </w:trPr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9E3BB5" w:rsidRPr="00124B3C" w:rsidTr="001510B3">
        <w:trPr>
          <w:gridAfter w:val="2"/>
          <w:wAfter w:w="2651" w:type="dxa"/>
        </w:trPr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всех собственников 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</w:tr>
      <w:tr w:rsidR="009E3BB5" w:rsidRPr="00124B3C" w:rsidTr="001510B3">
        <w:trPr>
          <w:gridAfter w:val="2"/>
          <w:wAfter w:w="2651" w:type="dxa"/>
        </w:trPr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третьих лиц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случае, если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переводимое жилое помещение обременено правами третьих лиц)</w:t>
            </w:r>
          </w:p>
        </w:tc>
      </w:tr>
      <w:tr w:rsidR="009E3BB5" w:rsidRPr="00124B3C" w:rsidTr="001510B3">
        <w:trPr>
          <w:gridAfter w:val="2"/>
          <w:wAfter w:w="2651" w:type="dxa"/>
        </w:trPr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lastRenderedPageBreak/>
              <w:t>письменное согласие совершеннолетних граждан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при переводе жилого помещения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нежилое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одноквартирном жилом доме или квартире сохраняются иные жилые помещения)</w:t>
            </w:r>
            <w:proofErr w:type="gramEnd"/>
          </w:p>
        </w:tc>
      </w:tr>
      <w:tr w:rsidR="009E3BB5" w:rsidRPr="00124B3C" w:rsidTr="001510B3">
        <w:trPr>
          <w:gridAfter w:val="2"/>
          <w:wAfter w:w="2651" w:type="dxa"/>
        </w:trPr>
        <w:tc>
          <w:tcPr>
            <w:tcW w:w="2349" w:type="pct"/>
            <w:tcBorders>
              <w:top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согласие органа опеки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попечительства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жилом помещении проживают или имеют право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проживание несовершеннолетние, признанные находящимися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социально опасном положении либо признанные нуждающимися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государственной защите, или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жилом помещении проживают граждане, признанные недееспособными или ограниченные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дееспособности судом, или это жилое помещение закреплено за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детьми-сиротами или детьми, оставшимися без попечения родителей)</w:t>
            </w:r>
            <w:proofErr w:type="gramEnd"/>
          </w:p>
        </w:tc>
      </w:tr>
    </w:tbl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t> 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5966"/>
      </w:tblGrid>
      <w:tr w:rsidR="009E3BB5" w:rsidRPr="00124B3C" w:rsidTr="001510B3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E3BB5" w:rsidRPr="00124B3C" w:rsidTr="001510B3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t> 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9E3BB5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9E3BB5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переводе жилого помещения </w:t>
            </w:r>
            <w:proofErr w:type="gramStart"/>
            <w:r w:rsidRPr="00D50433"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9E3BB5" w:rsidRDefault="009E3BB5" w:rsidP="009E3BB5">
      <w:pPr>
        <w:spacing w:after="60"/>
        <w:ind w:firstLine="566"/>
        <w:jc w:val="both"/>
      </w:pPr>
      <w:r>
        <w:t> 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9E3BB5" w:rsidRPr="00D50433" w:rsidRDefault="009E3BB5" w:rsidP="009E3BB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6"/>
        <w:gridCol w:w="2839"/>
      </w:tblGrid>
      <w:tr w:rsidR="009E3BB5" w:rsidRPr="00124B3C" w:rsidTr="001510B3">
        <w:tc>
          <w:tcPr>
            <w:tcW w:w="3486" w:type="pct"/>
            <w:tcBorders>
              <w:bottom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9E3BB5" w:rsidTr="001510B3">
        <w:tc>
          <w:tcPr>
            <w:tcW w:w="3486" w:type="pct"/>
            <w:tcBorders>
              <w:top w:val="single" w:sz="5" w:space="0" w:color="000000"/>
              <w:right w:val="single" w:sz="5" w:space="0" w:color="000000"/>
            </w:tcBorders>
          </w:tcPr>
          <w:p w:rsidR="009E3BB5" w:rsidRPr="00D50433" w:rsidRDefault="009E3BB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:rsidR="009E3BB5" w:rsidRDefault="009E3BB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9E3BB5" w:rsidRDefault="009E3BB5" w:rsidP="009E3BB5">
      <w:pPr>
        <w:spacing w:after="60"/>
        <w:ind w:firstLine="566"/>
        <w:jc w:val="both"/>
      </w:pPr>
      <w:r>
        <w:t> </w:t>
      </w:r>
    </w:p>
    <w:p w:rsidR="009E3BB5" w:rsidRPr="009E3BB5" w:rsidRDefault="009E3BB5">
      <w:pPr>
        <w:rPr>
          <w:lang w:val="ru-RU"/>
        </w:rPr>
      </w:pPr>
      <w:bookmarkStart w:id="0" w:name="_GoBack"/>
      <w:bookmarkEnd w:id="0"/>
    </w:p>
    <w:sectPr w:rsidR="009E3BB5" w:rsidRPr="009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456A04"/>
    <w:rsid w:val="008308F3"/>
    <w:rsid w:val="009E3BB5"/>
    <w:rsid w:val="00D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B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B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B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B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2022-08-26T06:45:00Z</dcterms:created>
  <dcterms:modified xsi:type="dcterms:W3CDTF">2022-08-26T06:45:00Z</dcterms:modified>
</cp:coreProperties>
</file>