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60024F" w:rsidRPr="00124B3C" w:rsidTr="001510B3">
        <w:tc>
          <w:tcPr>
            <w:tcW w:w="3258" w:type="dxa"/>
          </w:tcPr>
          <w:p w:rsidR="0060024F" w:rsidRDefault="0060024F" w:rsidP="001510B3">
            <w:r>
              <w:rPr>
                <w:noProof/>
                <w:lang w:val="ru-RU"/>
              </w:rPr>
              <w:drawing>
                <wp:inline distT="0" distB="0" distL="0" distR="0" wp14:anchorId="564A5F52" wp14:editId="7E379DDC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60024F" w:rsidRPr="00D50433" w:rsidRDefault="0060024F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0024F" w:rsidRPr="00D50433" w:rsidRDefault="0060024F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60024F" w:rsidRPr="00D50433" w:rsidRDefault="0060024F" w:rsidP="0060024F">
      <w:pPr>
        <w:rPr>
          <w:lang w:val="ru-RU"/>
        </w:rPr>
      </w:pPr>
    </w:p>
    <w:p w:rsidR="0060024F" w:rsidRPr="00B42140" w:rsidRDefault="0060024F" w:rsidP="0060024F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60024F" w:rsidRPr="00D50433" w:rsidRDefault="0060024F" w:rsidP="0060024F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60024F" w:rsidRPr="00D50433" w:rsidRDefault="0060024F" w:rsidP="0060024F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60024F" w:rsidRPr="00B42140" w:rsidRDefault="0060024F" w:rsidP="0060024F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16.7.4 «Получение решения о</w:t>
      </w:r>
      <w:r>
        <w:t> </w:t>
      </w:r>
      <w:r w:rsidRPr="00D50433">
        <w:rPr>
          <w:lang w:val="ru-RU"/>
        </w:rPr>
        <w:t>разрешении на</w:t>
      </w:r>
      <w:r>
        <w:t> </w:t>
      </w:r>
      <w:r w:rsidRPr="00D50433">
        <w:rPr>
          <w:lang w:val="ru-RU"/>
        </w:rPr>
        <w:t>реконструкцию нежилой капитальной постройки на</w:t>
      </w:r>
      <w:r>
        <w:t> </w:t>
      </w:r>
      <w:r w:rsidRPr="00D50433">
        <w:rPr>
          <w:lang w:val="ru-RU"/>
        </w:rPr>
        <w:t>придомовой территории» (прилагается);</w:t>
      </w:r>
    </w:p>
    <w:p w:rsidR="0060024F" w:rsidRPr="00D50433" w:rsidRDefault="0060024F" w:rsidP="0060024F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60024F" w:rsidRPr="00D50433" w:rsidRDefault="0060024F" w:rsidP="0060024F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60024F" w:rsidTr="001510B3">
        <w:tc>
          <w:tcPr>
            <w:tcW w:w="2500" w:type="pct"/>
            <w:vAlign w:val="bottom"/>
          </w:tcPr>
          <w:p w:rsidR="0060024F" w:rsidRDefault="0060024F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60024F" w:rsidRDefault="0060024F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60024F" w:rsidRDefault="0060024F" w:rsidP="0060024F">
      <w:pPr>
        <w:spacing w:after="60"/>
        <w:jc w:val="both"/>
      </w:pPr>
      <w:r>
        <w:t> </w:t>
      </w:r>
    </w:p>
    <w:p w:rsidR="0060024F" w:rsidRDefault="0060024F" w:rsidP="0060024F">
      <w:pPr>
        <w:spacing w:after="28"/>
      </w:pPr>
      <w:r>
        <w:rPr>
          <w:sz w:val="22"/>
          <w:szCs w:val="22"/>
        </w:rPr>
        <w:t>СОГЛАСОВАНО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0024F" w:rsidRDefault="0060024F" w:rsidP="0060024F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60024F" w:rsidRDefault="0060024F" w:rsidP="0060024F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lastRenderedPageBreak/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60024F" w:rsidRDefault="0060024F" w:rsidP="0060024F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60024F" w:rsidRDefault="0060024F" w:rsidP="0060024F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Default="0060024F" w:rsidP="0060024F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0024F" w:rsidRDefault="0060024F" w:rsidP="0060024F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0024F" w:rsidRDefault="0060024F" w:rsidP="0060024F">
      <w:pPr>
        <w:spacing w:after="28"/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Витебский областной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Гомельский областной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Гродненский областной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Минский областной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Минский городской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Могилевский областной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исполнительный комитет</w:t>
      </w:r>
    </w:p>
    <w:p w:rsidR="0060024F" w:rsidRPr="0060024F" w:rsidRDefault="0060024F" w:rsidP="0060024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Государственное учреждение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«Администрация Китайско-</w:t>
      </w:r>
    </w:p>
    <w:p w:rsidR="0060024F" w:rsidRPr="0060024F" w:rsidRDefault="0060024F" w:rsidP="0060024F">
      <w:pPr>
        <w:spacing w:after="28"/>
        <w:rPr>
          <w:lang w:val="ru-RU"/>
        </w:rPr>
      </w:pPr>
      <w:r w:rsidRPr="0060024F">
        <w:rPr>
          <w:sz w:val="22"/>
          <w:szCs w:val="22"/>
          <w:lang w:val="ru-RU"/>
        </w:rPr>
        <w:t>Белорусского индустриального</w:t>
      </w:r>
    </w:p>
    <w:p w:rsidR="0060024F" w:rsidRDefault="0060024F" w:rsidP="0060024F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60024F" w:rsidRDefault="0060024F" w:rsidP="0060024F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60024F" w:rsidTr="001510B3">
        <w:tc>
          <w:tcPr>
            <w:tcW w:w="3561" w:type="pct"/>
          </w:tcPr>
          <w:p w:rsidR="0060024F" w:rsidRDefault="0060024F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60024F" w:rsidRPr="00D50433" w:rsidRDefault="0060024F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60024F" w:rsidRPr="00D50433" w:rsidRDefault="0060024F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60024F" w:rsidRDefault="0060024F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60024F" w:rsidRPr="00D50433" w:rsidRDefault="0060024F" w:rsidP="0060024F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16.7.4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разрешении на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реконструкцию нежилой капитальной постройки на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придомовой территории»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Положение о</w:t>
      </w:r>
      <w:r>
        <w:t> </w:t>
      </w:r>
      <w:r w:rsidRPr="00D50433">
        <w:rPr>
          <w:lang w:val="ru-RU"/>
        </w:rPr>
        <w:t>порядке реконструкции жилых и</w:t>
      </w:r>
      <w:r>
        <w:t> </w:t>
      </w:r>
      <w:r w:rsidRPr="00D50433">
        <w:rPr>
          <w:lang w:val="ru-RU"/>
        </w:rPr>
        <w:t>(или) нежилых помещений в</w:t>
      </w:r>
      <w:r>
        <w:t> </w:t>
      </w:r>
      <w:r w:rsidRPr="00D50433">
        <w:rPr>
          <w:lang w:val="ru-RU"/>
        </w:rPr>
        <w:t>многоквартирных, блокированных жилых домах, одноквартирных жилых домов, а</w:t>
      </w:r>
      <w:r>
        <w:t> </w:t>
      </w:r>
      <w:r w:rsidRPr="00D50433">
        <w:rPr>
          <w:lang w:val="ru-RU"/>
        </w:rPr>
        <w:t>также нежилых капитальных построек на</w:t>
      </w:r>
      <w:r>
        <w:t> </w:t>
      </w:r>
      <w:r w:rsidRPr="00D50433">
        <w:rPr>
          <w:lang w:val="ru-RU"/>
        </w:rPr>
        <w:t>придомовой территории, утвержденное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16</w:t>
      </w:r>
      <w:r>
        <w:t> </w:t>
      </w:r>
      <w:r w:rsidRPr="00D50433">
        <w:rPr>
          <w:lang w:val="ru-RU"/>
        </w:rPr>
        <w:t>мая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384;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дополнительные основания для</w:t>
      </w:r>
      <w:r>
        <w:t> </w:t>
      </w:r>
      <w:r w:rsidRPr="00D50433">
        <w:rPr>
          <w:lang w:val="ru-RU"/>
        </w:rPr>
        <w:t>отказа в</w:t>
      </w:r>
      <w:r>
        <w:t> </w:t>
      </w:r>
      <w:r w:rsidRPr="00D50433">
        <w:rPr>
          <w:lang w:val="ru-RU"/>
        </w:rPr>
        <w:t>осуществлении административной процедуры к</w:t>
      </w:r>
      <w:r>
        <w:t> </w:t>
      </w:r>
      <w:proofErr w:type="gramStart"/>
      <w:r w:rsidRPr="00D50433">
        <w:rPr>
          <w:lang w:val="ru-RU"/>
        </w:rPr>
        <w:t>указанным</w:t>
      </w:r>
      <w:proofErr w:type="gramEnd"/>
      <w:r w:rsidRPr="00D50433">
        <w:rPr>
          <w:lang w:val="ru-RU"/>
        </w:rPr>
        <w:t xml:space="preserve"> в</w:t>
      </w:r>
      <w:r>
        <w:t> </w:t>
      </w:r>
      <w:r w:rsidRPr="00D50433">
        <w:rPr>
          <w:lang w:val="ru-RU"/>
        </w:rPr>
        <w:t>Законе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 определены в</w:t>
      </w:r>
      <w:r>
        <w:t> </w:t>
      </w:r>
      <w:r w:rsidRPr="00D50433">
        <w:rPr>
          <w:lang w:val="ru-RU"/>
        </w:rPr>
        <w:t>пункте</w:t>
      </w:r>
      <w:r>
        <w:t> </w:t>
      </w:r>
      <w:r w:rsidRPr="00D50433">
        <w:rPr>
          <w:lang w:val="ru-RU"/>
        </w:rPr>
        <w:t>8 Положения о</w:t>
      </w:r>
      <w:r>
        <w:t> </w:t>
      </w:r>
      <w:r w:rsidRPr="00D50433">
        <w:rPr>
          <w:lang w:val="ru-RU"/>
        </w:rPr>
        <w:t>порядке реконструкции жилых и</w:t>
      </w:r>
      <w:r>
        <w:t> </w:t>
      </w:r>
      <w:r w:rsidRPr="00D50433">
        <w:rPr>
          <w:lang w:val="ru-RU"/>
        </w:rPr>
        <w:t>(или) нежилых помещений в</w:t>
      </w:r>
      <w:r>
        <w:t> </w:t>
      </w:r>
      <w:r w:rsidRPr="00D50433">
        <w:rPr>
          <w:lang w:val="ru-RU"/>
        </w:rPr>
        <w:t>многоквартирных, блокированных жилых домах, одноквартирных жилых домов, а</w:t>
      </w:r>
      <w:r>
        <w:t> </w:t>
      </w:r>
      <w:r w:rsidRPr="00D50433">
        <w:rPr>
          <w:lang w:val="ru-RU"/>
        </w:rPr>
        <w:t>также нежилых капитальных построек на</w:t>
      </w:r>
      <w:r>
        <w:t> </w:t>
      </w:r>
      <w:r w:rsidRPr="00D50433">
        <w:rPr>
          <w:lang w:val="ru-RU"/>
        </w:rPr>
        <w:t>придомовой территории;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60024F" w:rsidRDefault="0060024F" w:rsidP="0060024F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60024F" w:rsidRDefault="0060024F" w:rsidP="0060024F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2559"/>
        <w:gridCol w:w="2554"/>
      </w:tblGrid>
      <w:tr w:rsidR="0060024F" w:rsidRPr="00124B3C" w:rsidTr="001510B3">
        <w:tc>
          <w:tcPr>
            <w:tcW w:w="2273" w:type="pct"/>
            <w:tcBorders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60024F" w:rsidRPr="00124B3C" w:rsidTr="001510B3"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60024F" w:rsidTr="001510B3">
        <w:trPr>
          <w:gridAfter w:val="1"/>
          <w:wAfter w:w="1362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024F" w:rsidRPr="00124B3C" w:rsidTr="001510B3">
        <w:trPr>
          <w:gridAfter w:val="2"/>
          <w:wAfter w:w="2727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ведомость технических характеристик (при наличии)</w:t>
            </w:r>
          </w:p>
        </w:tc>
      </w:tr>
      <w:tr w:rsidR="0060024F" w:rsidRPr="00124B3C" w:rsidTr="001510B3">
        <w:trPr>
          <w:gridAfter w:val="2"/>
          <w:wAfter w:w="2727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договор, судебное постановление, иной документ, подтверждающий принадлежность нежилой капитальной постройки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праве собственности или ином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законном основании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нежилая капитальная постройка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зарегистрирована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едином государственном регистре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ним)</w:t>
            </w:r>
          </w:p>
        </w:tc>
      </w:tr>
      <w:tr w:rsidR="0060024F" w:rsidRPr="00124B3C" w:rsidTr="001510B3">
        <w:trPr>
          <w:gridAfter w:val="2"/>
          <w:wAfter w:w="2727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описание работ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планов застройщика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реконструкции нежилой капитальной постройки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</w:t>
            </w:r>
          </w:p>
        </w:tc>
      </w:tr>
      <w:tr w:rsidR="0060024F" w:rsidRPr="00124B3C" w:rsidTr="001510B3">
        <w:trPr>
          <w:gridAfter w:val="2"/>
          <w:wAfter w:w="2727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собственника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реконструкцию нежилой капитальной постройки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 (если нежилая капитальная постройка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 предоставлена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договору аренды, безвозмездного пользования)</w:t>
            </w:r>
          </w:p>
        </w:tc>
      </w:tr>
      <w:tr w:rsidR="0060024F" w:rsidTr="001510B3">
        <w:trPr>
          <w:gridAfter w:val="1"/>
          <w:wAfter w:w="1362" w:type="dxa"/>
        </w:trPr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совершеннолетних граждан, имеющих право владения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пользования нежилой капитальной постройкой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территории,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 долевой собственности,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том числе временно отсутствующих таких граждан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участников,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реконструкцию нежилой капитальной постройки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</w:t>
            </w:r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нотариально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удостоверенное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письменное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согласие</w:t>
            </w:r>
            <w:proofErr w:type="spellEnd"/>
          </w:p>
        </w:tc>
      </w:tr>
      <w:tr w:rsidR="0060024F" w:rsidRPr="00124B3C" w:rsidTr="001510B3">
        <w:trPr>
          <w:gridAfter w:val="1"/>
          <w:wAfter w:w="1362" w:type="dxa"/>
        </w:trPr>
        <w:tc>
          <w:tcPr>
            <w:tcW w:w="2273" w:type="pct"/>
            <w:tcBorders>
              <w:top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копия решения суда 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обязанности произвести реконструкцию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судом принималось такое решение</w:t>
            </w:r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t> 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6109"/>
      </w:tblGrid>
      <w:tr w:rsidR="0060024F" w:rsidRPr="00124B3C" w:rsidTr="001510B3">
        <w:tc>
          <w:tcPr>
            <w:tcW w:w="1742" w:type="pct"/>
            <w:tcBorders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258" w:type="pct"/>
            <w:tcBorders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земельно-кадастровый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структурное подразделение землеустройства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распорядительного органа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разрешение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выполнение научно-исследовательских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проектных работ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материальных историко-культурных ценностях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Министерство культуры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выполнения реконструкции нежилых помещений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жилых домах, внесенных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Государственный список историко-культурных ценностей Республики Беларусь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архитектурно-планировочное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коммунальное унитарное предприятие или территориальное подразделение архитектуры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строительства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заключения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согласующих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организации, выдающие технические требования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компетенции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выполняемых видов работ</w:t>
            </w:r>
          </w:p>
        </w:tc>
      </w:tr>
      <w:tr w:rsidR="0060024F" w:rsidRPr="00124B3C" w:rsidTr="001510B3">
        <w:tc>
          <w:tcPr>
            <w:tcW w:w="1742" w:type="pct"/>
            <w:tcBorders>
              <w:top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технические условия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инженерно-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техническое обеспечение объекта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 xml:space="preserve">коммунальное унитарное предприятие или территориальное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подразделение архитектуры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строительства или Китайско-Белорусское совместное закрытое акционерное общество «Компания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развитию индустриального парка»</w:t>
            </w:r>
          </w:p>
        </w:tc>
      </w:tr>
    </w:tbl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60024F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60024F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разрешении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реконструкцию нежилой капитальной постройки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придомовой территории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60024F" w:rsidRDefault="0060024F" w:rsidP="0060024F">
      <w:pPr>
        <w:spacing w:after="60"/>
        <w:ind w:firstLine="566"/>
        <w:jc w:val="both"/>
      </w:pPr>
      <w:r>
        <w:t> 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60024F" w:rsidRPr="00D50433" w:rsidRDefault="0060024F" w:rsidP="006002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60024F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60024F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60024F" w:rsidRPr="00D50433" w:rsidRDefault="0060024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60024F" w:rsidRDefault="0060024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60024F" w:rsidRDefault="0060024F" w:rsidP="0060024F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60024F" w:rsidTr="001510B3">
        <w:tc>
          <w:tcPr>
            <w:tcW w:w="3561" w:type="pct"/>
          </w:tcPr>
          <w:p w:rsidR="0060024F" w:rsidRDefault="0060024F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60024F" w:rsidRDefault="0060024F" w:rsidP="001510B3">
            <w:pPr>
              <w:spacing w:after="60"/>
            </w:pPr>
            <w:bookmarkStart w:id="0" w:name="_GoBack"/>
            <w:bookmarkEnd w:id="0"/>
          </w:p>
        </w:tc>
      </w:tr>
    </w:tbl>
    <w:p w:rsidR="008308F3" w:rsidRDefault="008308F3"/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B9"/>
    <w:rsid w:val="0060024F"/>
    <w:rsid w:val="007E46B9"/>
    <w:rsid w:val="008308F3"/>
    <w:rsid w:val="00C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24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24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24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24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2022-08-26T07:03:00Z</dcterms:created>
  <dcterms:modified xsi:type="dcterms:W3CDTF">2022-08-26T07:03:00Z</dcterms:modified>
</cp:coreProperties>
</file>