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156" w:left="0" w:right="0" w:bottom="26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8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ИНФОРМАЦИОННОЕ ПИСЬМО</w:t>
        <w:br/>
        <w:t>О состоянии эксплуатации энергоустановок субъектов малого</w:t>
        <w:br/>
        <w:t>предпринимательства Могилевской области</w:t>
        <w:br/>
        <w:t>от 16.12,2019 №04/1402.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повышения уровня эксплуатации энергоустановок и предупреждения электро и - теплотравматизма на производственных объектах, торговых, павильонах, передвижных торговых точках и на иных объектах субъектов малого предпринимательства информируем.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требованиями Указа Президента Республики Беларусь от 16 октября 2009 года №510 «О совершенствовании контрольной (надзорной) деятельности в Республике Беларусь» инспекторским персоналом филиала Госэнергогазнадзора по Могилевской области за 2019 год проведено 100 обследований электро- и теплоустановок с оценкой их технического состояния и организации эксплуатации у субъектов малого предпринимательства Могилевской области в рамках мероприятий технического (технологического, поверочного) характера.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вышеуказанных обследований выявлено 1611 нарушений требований нормативно правовых актов (далее — НПА) и технических нормативных правовых актов (далее - ТИПА), устанавливающих правила устройства, технической эксплуатаций и техники безопасности при эксплуатации электро- и теплоустановок, в том числе было выявлено 108 грубых нарушений, которые несут угрозу жизни и здоровью людей (что составило 6,7 % от общего числа нарушений). Выдано 48 предложений о приостановлении (запрете) эксплуатации энергооборудования.</w:t>
      </w:r>
    </w:p>
    <w:p>
      <w:pPr>
        <w:pStyle w:val="Style5"/>
        <w:tabs>
          <w:tab w:leader="none" w:pos="207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проведенных обследований показывает низкий уровень технического</w:t>
        <w:tab/>
        <w:t>состояния энергоустановок. Субъектами малого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предпринимательства порой не выполняются минимальные требования безопасности.</w:t>
      </w:r>
    </w:p>
    <w:p>
      <w:pPr>
        <w:pStyle w:val="Style5"/>
        <w:tabs>
          <w:tab w:leader="none" w:pos="2075" w:val="left"/>
          <w:tab w:leader="none" w:pos="3456" w:val="left"/>
          <w:tab w:leader="none" w:pos="83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обследованиях выявлено: эксплуатация электроустановок без осуществления</w:t>
        <w:tab/>
        <w:t>допуска</w:t>
        <w:tab/>
        <w:t>в установленном порядке (без</w:t>
        <w:tab/>
        <w:t>допуска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эксплуатировалось 19 объектов), неисправны (отсутствуют) запирающие устройства от электрощитовых, силовых щитов (было выявлено у 12 субъектов), отсутствуют исправные (поверенные) средства защиты для производства работ в электроустановках (у 33 субъектов), не проводятся профилактические электрофизические измерения и испытания электроустановок, в том числе не проведена проверка переносного электроинструмента, удлинителей, не проведено испытание сварочного оборудования (у 30 субъектов), не закрыты открытые токоведущие части (у 4 субъектов), не проводят в требуемых объемах профилактические планово- предупредительные ремонты (у 27 субъектов), не назначено лицо, ответственное за электро и теплохозяйство (у 6 субъектов), отсутствуют предохранительные клапаны, на предохранительных клапанах в котельных отсутствуют отводящие трубопроводы (у 4 субъектов), частично отсутствует тепловая изоляция трубопроводов и др.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35" w:line="32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вышеизложенного и в порядке осуществления государственного энергетического и газового надзора, обеспечения выполнения Директивы Президента Республики Беларусь от 11 марта 2004 года №1 «О мерах по укреплению общественной безопасности и дисциплины», обеспечения безопасной и надежной эксплуатации энергоустановок, филиал Госэнергогазнадзора по Могилевской области, -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6" w:line="280" w:lineRule="exact"/>
        <w:ind w:left="3780" w:right="0" w:firstLine="0"/>
      </w:pPr>
      <w:r>
        <w:rPr>
          <w:rStyle w:val="CharStyle7"/>
          <w:b/>
          <w:bCs/>
        </w:rPr>
        <w:t>ПРЕДЛАГАЕТ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6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Субъектам малого предпринимательства:</w:t>
      </w:r>
    </w:p>
    <w:p>
      <w:pPr>
        <w:pStyle w:val="Style5"/>
        <w:numPr>
          <w:ilvl w:val="0"/>
          <w:numId w:val="1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Проработать данное информационное письмо с разработкой комплекса мероприятий по недопущению наиболее часто встречаемых нарушений указанных в письме.</w:t>
      </w:r>
    </w:p>
    <w:p>
      <w:pPr>
        <w:pStyle w:val="Style5"/>
        <w:numPr>
          <w:ilvl w:val="0"/>
          <w:numId w:val="1"/>
        </w:numPr>
        <w:tabs>
          <w:tab w:leader="none" w:pos="11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Назначить ответственных за электро- и теплохозяйство для непосредственного выполнения функций по эксплуатации энергоустановок согласно требований действующих НПА, ТИПА и должностных инструкций.</w:t>
      </w:r>
    </w:p>
    <w:p>
      <w:pPr>
        <w:pStyle w:val="Style5"/>
        <w:numPr>
          <w:ilvl w:val="0"/>
          <w:numId w:val="1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Обязать ответственных за электро- и теплохозяйство провести в 2020 году самообследования энергоустановок на предмет их соответствия требованиям действующих НПА, ТИПА и эксплуатационным инструкциям. Выявленные недостатки устранить. Особое внимание обратить на устранение ранее выявленных замечаний и предписаний (предложений, рекомендаций) органов Госэнергогазнадзора.</w:t>
      </w:r>
    </w:p>
    <w:p>
      <w:pPr>
        <w:pStyle w:val="Style5"/>
        <w:numPr>
          <w:ilvl w:val="0"/>
          <w:numId w:val="1"/>
        </w:numPr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Обеспечить:</w:t>
      </w:r>
    </w:p>
    <w:p>
      <w:pPr>
        <w:pStyle w:val="Style5"/>
        <w:numPr>
          <w:ilvl w:val="1"/>
          <w:numId w:val="1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Ввод в эксплуатацию новых и реконструируемых энергоустановок в соответствии с Положением о порядке приемки в эксплуатацию объектов строительства, утвержденным постановлением Совета Министров Республики Беларусь 06.06 2011 № 716.</w:t>
      </w:r>
    </w:p>
    <w:p>
      <w:pPr>
        <w:pStyle w:val="Style5"/>
        <w:numPr>
          <w:ilvl w:val="1"/>
          <w:numId w:val="1"/>
        </w:numPr>
        <w:tabs>
          <w:tab w:leader="none" w:pos="14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Подключение энергоустановок в соответствии с Правилами</w:t>
      </w:r>
    </w:p>
    <w:p>
      <w:pPr>
        <w:pStyle w:val="Style5"/>
        <w:tabs>
          <w:tab w:leader="none" w:pos="54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электроснабжения, утвержденными постановлением Совета Министров Республики Беларусь от 17.10.2011</w:t>
        <w:tab/>
        <w:t>№1394 (далее - Правила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электроснабжения) и Правилами теплоснабжения, утвержденными постановлением Совета Министров Республики Беларусь от 11.19.2019 №609.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Справочно: Вновь подключаемые к электрическим сетям стационарно смонтированные электроустановки, должны подключаться к электрической сети после осмотра этих электроустановок государственным инспектором по энергетическому надзору в рамках осуществления энергоснабжающими организациями (территориальными подразделениями филиалов «Электрические сети» РУП «Могилевэнерго» и другими организациями, владельцами электрических сетей) административной процедуры 3,31</w:t>
      </w:r>
    </w:p>
    <w:p>
      <w:pPr>
        <w:pStyle w:val="Style8"/>
        <w:tabs>
          <w:tab w:leader="none" w:pos="5638" w:val="left"/>
          <w:tab w:leader="none" w:pos="72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единого перечня административных</w:t>
        <w:tab/>
        <w:t>процедур,</w:t>
        <w:tab/>
        <w:t>осуществляемых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государственными органами и иными организациями в отношении юридических лиц и индивидуальны предпринимателей</w:t>
      </w:r>
      <w:r>
        <w:rPr>
          <w:rStyle w:val="CharStyle10"/>
          <w:i w:val="0"/>
          <w:iCs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утвержденного постановлением Совета Министров Республики Беларусь от 17.02.2012г. №156 при представлении документов</w:t>
      </w:r>
      <w:r>
        <w:rPr>
          <w:rStyle w:val="CharStyle10"/>
          <w:i w:val="0"/>
          <w:iCs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оговоренных в пункте 48 Правил электроснабжения.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rStyle w:val="CharStyle11"/>
        </w:rPr>
        <w:t>43.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Наличие на вводных и распределительных щитах исправных запирающих устройств для предотвращения случайного доступа людей к токоведущим частям. Нанести (обновить) необходимые знаки безопасности.</w:t>
      </w:r>
    </w:p>
    <w:p>
      <w:pPr>
        <w:pStyle w:val="Style5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Наличие у обслуживающего энергоустановки персонала инструмента и испытанных индивидуальных и коллективных защитных средств в соответствии с требованиями ТИПА.</w:t>
      </w:r>
    </w:p>
    <w:p>
      <w:pPr>
        <w:pStyle w:val="Style5"/>
        <w:numPr>
          <w:ilvl w:val="0"/>
          <w:numId w:val="3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энергетического оборудования и сетей в работоспособном состоянии в соответствии с требованиями ТИПА.</w:t>
      </w:r>
    </w:p>
    <w:p>
      <w:pPr>
        <w:pStyle w:val="Style5"/>
        <w:numPr>
          <w:ilvl w:val="0"/>
          <w:numId w:val="3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проведение профилактических испытаний и электрофизических измерений в электроустановках.</w:t>
      </w:r>
    </w:p>
    <w:p>
      <w:pPr>
        <w:pStyle w:val="Style5"/>
        <w:numPr>
          <w:ilvl w:val="0"/>
          <w:numId w:val="3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и качественное проведение профилактических работ и ремонтов согласно графиков ПНР, модернизации и реконструкции энергетического оборудования.</w:t>
      </w:r>
    </w:p>
    <w:p>
      <w:pPr>
        <w:pStyle w:val="Style5"/>
        <w:numPr>
          <w:ilvl w:val="0"/>
          <w:numId w:val="3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Надежность работы энергоустановок и безопасность их обслуживания.</w:t>
      </w:r>
    </w:p>
    <w:p>
      <w:pPr>
        <w:pStyle w:val="Style5"/>
        <w:numPr>
          <w:ilvl w:val="0"/>
          <w:numId w:val="3"/>
        </w:numPr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Учет и анализ случаев нарушений в работе энергоустановок и принятия достаточных мер по устранению причин их возникновения.</w:t>
      </w:r>
    </w:p>
    <w:p>
      <w:pPr>
        <w:pStyle w:val="Style5"/>
        <w:numPr>
          <w:ilvl w:val="0"/>
          <w:numId w:val="3"/>
        </w:numPr>
        <w:tabs>
          <w:tab w:leader="none" w:pos="14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работой подчиненного персонала и соблюдением им производственно-технологической дисциплины.</w:t>
      </w:r>
    </w:p>
    <w:p>
      <w:pPr>
        <w:pStyle w:val="Style5"/>
        <w:numPr>
          <w:ilvl w:val="0"/>
          <w:numId w:val="1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допускать производства работ в энергоустановках без обязательного выполнения всех организационных и технических мероприятий, обеспечивающих безопасность работ, в соответствии с требованиями ТИПА.</w:t>
      </w:r>
    </w:p>
    <w:p>
      <w:pPr>
        <w:pStyle w:val="Style5"/>
        <w:numPr>
          <w:ilvl w:val="0"/>
          <w:numId w:val="1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Проводить с подчиненным персоналом периодические занятия по изучению методов освобождения и оказания доврачебной помощи пострадавшему от электрического тока.</w:t>
      </w:r>
    </w:p>
    <w:p>
      <w:pPr>
        <w:pStyle w:val="Style5"/>
        <w:numPr>
          <w:ilvl w:val="0"/>
          <w:numId w:val="1"/>
        </w:numPr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подключении электроустановок мобильных зданий из металла или с металлическим каркасом (киосков, вагон-домиков и т.п.) применять устройства защитного отключения. Рекомендуется оснащать электроустановки, электропроводки и токоприемники, введенные в эксплуатацию ранее, устройствами защитного отключения, если это направлено на обеспечение требований безопасности.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о проделанной работе представить в территориальные органы филиала Госэнергогазнадзора по Могилевской области по месту их</w:t>
      </w:r>
    </w:p>
    <w:p>
      <w:pPr>
        <w:framePr w:h="2394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39pt;height:12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156" w:left="1676" w:right="793" w:bottom="26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3) + Интервал 3 pt"/>
    <w:basedOn w:val="CharStyle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 + Не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780" w:line="32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80" w:line="32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line="32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