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before="29" w:after="2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1156" w:left="0" w:right="0" w:bottom="268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783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ИНФОРМАЦИОННОЕ ПИСЬМО</w:t>
        <w:br/>
        <w:t>О состоянии эксплуатации энергоустановок субъектов малого</w:t>
        <w:br/>
        <w:t>предпринимательства Могилевской области</w:t>
        <w:br/>
        <w:t>от 16.12,2019 №04/1402.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целях повышения уровня эксплуатации энергоустановок и предупреждения электро и - теплотравматизма на производственных объектах, торговых, павильонах, передвижных торговых точках и на иных объектах субъектов малого предпринимательства информируем.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требованиями Указа Президента Республики Беларусь от 16 октября 2009 года №510 «О совершенствовании контрольной (надзорной) деятельности в Республике Беларусь» инспекторским персоналом филиала Госэнергогазнадзора по Могилевской области за 2019 год проведено 100 обследований электро- и теплоустановок с оценкой их технического состояния и организации эксплуатации у субъектов малого предпринимательства Могилевской области в рамках мероприятий технического (технологического, поверочного) характера.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результатам вышеуказанных обследований выявлено 1611 нарушений требований нормативно правовых актов (далее — НПА) и технических нормативных правовых актов (далее - ТИПА), устанавливающих правила устройства, технической эксплуатаций и техники безопасности при эксплуатации электро- и теплоустановок, в том числе было выявлено 108 грубых нарушений, которые несут угрозу жизни и здоровью людей (что составило 6,7 % от общего числа нарушений). Выдано 48 предложений о приостановлении (запрете) эксплуатации энергооборудования.</w:t>
      </w:r>
    </w:p>
    <w:p>
      <w:pPr>
        <w:pStyle w:val="Style5"/>
        <w:tabs>
          <w:tab w:leader="none" w:pos="207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Анализ проведенных обследований показывает низкий уровень технического</w:t>
        <w:tab/>
        <w:t>состояния энергоустановок. Субъектами малого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предпринимательства порой не выполняются минимальные требования безопасности.</w:t>
      </w:r>
    </w:p>
    <w:p>
      <w:pPr>
        <w:pStyle w:val="Style5"/>
        <w:tabs>
          <w:tab w:leader="none" w:pos="2075" w:val="left"/>
          <w:tab w:leader="none" w:pos="3456" w:val="left"/>
          <w:tab w:leader="none" w:pos="831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обследованиях выявлено: эксплуатация электроустановок без осуществления</w:t>
        <w:tab/>
        <w:t>допуска</w:t>
        <w:tab/>
        <w:t>в установленном порядке (без</w:t>
        <w:tab/>
        <w:t>допуска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эксплуатировалось 19 объектов), неисправны (отсутствуют) запирающие устройства от электрощитовых, силовых щитов (было выявлено у 12 субъектов), отсутствуют исправные (поверенные) средства защиты для производства работ в электроустановках (у 33 субъектов), не проводятся профилактические электрофизические измерения и испытания электроустановок, в том числе не проведена проверка переносного электроинструмента, удлинителей, не проведено испытание сварочного оборудования (у 30 субъектов), не закрыты открытые токоведущие части (у 4 субъектов), не проводят в требуемых объемах профилактические планово- предупредительные ремонты (у 27 субъектов), не назначено лицо, ответственное за электро и теплохозяйство (у 6 субъектов), отсутствуют предохранительные клапаны, на предохранительных клапанах в котельных отсутствуют отводящие трубопроводы (у 4 субъектов), частично отсутствует тепловая изоляция трубопроводов и др.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35" w:line="32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основании вышеизложенного и в порядке осуществления государственного энергетического и газового надзора, обеспечения выполнения Директивы Президента Республики Беларусь от 11 марта 2004 года №1 «О мерах по укреплению общественной безопасности и дисциплины», обеспечения безопасной и надежной эксплуатации энергоустановок, филиал Госэнергогазнадзора по Могилевской области, -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96" w:line="280" w:lineRule="exact"/>
        <w:ind w:left="3780" w:right="0" w:firstLine="0"/>
      </w:pPr>
      <w:r>
        <w:rPr>
          <w:rStyle w:val="CharStyle7"/>
          <w:b/>
          <w:bCs/>
        </w:rPr>
        <w:t>ПРЕДЛАГАЕТ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60" w:line="2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Субъектам малого предпринимательства:</w:t>
      </w:r>
    </w:p>
    <w:p>
      <w:pPr>
        <w:pStyle w:val="Style5"/>
        <w:numPr>
          <w:ilvl w:val="0"/>
          <w:numId w:val="1"/>
        </w:numPr>
        <w:tabs>
          <w:tab w:leader="none" w:pos="11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Проработать данное информационное письмо с разработкой комплекса мероприятий по недопущению наиболее часто встречаемых нарушений указанных в письме.</w:t>
      </w:r>
    </w:p>
    <w:p>
      <w:pPr>
        <w:pStyle w:val="Style5"/>
        <w:numPr>
          <w:ilvl w:val="0"/>
          <w:numId w:val="1"/>
        </w:numPr>
        <w:tabs>
          <w:tab w:leader="none" w:pos="11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Назначить ответственных за электро- и теплохозяйство для непосредственного выполнения функций по эксплуатации энергоустановок согласно требований действующих НПА, ТИПА и должностных инструкций.</w:t>
      </w:r>
    </w:p>
    <w:p>
      <w:pPr>
        <w:pStyle w:val="Style5"/>
        <w:numPr>
          <w:ilvl w:val="0"/>
          <w:numId w:val="1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Обязать ответственных за электро- и теплохозяйство провести в 2020 году самообследования энергоустановок на предмет их соответствия требованиям действующих НПА, ТИПА и эксплуатационным инструкциям. Выявленные недостатки устранить. Особое внимание обратить на устранение ранее выявленных замечаний и предписаний (предложений, рекомендаций) органов Госэнергогазнадзора.</w:t>
      </w:r>
    </w:p>
    <w:p>
      <w:pPr>
        <w:pStyle w:val="Style5"/>
        <w:numPr>
          <w:ilvl w:val="0"/>
          <w:numId w:val="1"/>
        </w:numPr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Обеспечить:</w:t>
      </w:r>
    </w:p>
    <w:p>
      <w:pPr>
        <w:pStyle w:val="Style5"/>
        <w:numPr>
          <w:ilvl w:val="1"/>
          <w:numId w:val="1"/>
        </w:numPr>
        <w:tabs>
          <w:tab w:leader="none" w:pos="126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Ввод в эксплуатацию новых и реконструируемых энергоустановок в соответствии с Положением о порядке приемки в эксплуатацию объектов строительства, утвержденным постановлением Совета Министров Республики Беларусь 06.06 2011 № 716.</w:t>
      </w:r>
    </w:p>
    <w:p>
      <w:pPr>
        <w:pStyle w:val="Style5"/>
        <w:numPr>
          <w:ilvl w:val="1"/>
          <w:numId w:val="1"/>
        </w:numPr>
        <w:tabs>
          <w:tab w:leader="none" w:pos="14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Подключение энергоустановок в соответствии с Правилами</w:t>
      </w:r>
    </w:p>
    <w:p>
      <w:pPr>
        <w:pStyle w:val="Style5"/>
        <w:tabs>
          <w:tab w:leader="none" w:pos="549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электроснабжения, утвержденными постановлением Совета Министров Республики Беларусь от 17.10.2011</w:t>
        <w:tab/>
        <w:t>№1394 (далее - Правила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электроснабжения) и Правилами теплоснабжения, утвержденными постановлением Совета Министров Республики Беларусь от 11.19.2019 №609.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Справочно: Вновь подключаемые к электрическим сетям стационарно смонтированные электроустановки, должны подключаться к электрической сети после осмотра этих электроустановок государственным инспектором по энергетическому надзору в рамках осуществления энергоснабжающими организациями (территориальными подразделениями филиалов «Электрические сети» РУП «Могилевэнерго» и другими организациями, владельцами электрических сетей) административной процедуры 3,31</w:t>
      </w:r>
    </w:p>
    <w:p>
      <w:pPr>
        <w:pStyle w:val="Style8"/>
        <w:tabs>
          <w:tab w:leader="none" w:pos="5638" w:val="left"/>
          <w:tab w:leader="none" w:pos="724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единого перечня административных</w:t>
        <w:tab/>
        <w:t>процедур,</w:t>
        <w:tab/>
        <w:t>осуществляемых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государственными органами и иными организациями в отношении юридических лиц и индивидуальны предпринимателей</w:t>
      </w:r>
      <w:r>
        <w:rPr>
          <w:rStyle w:val="CharStyle10"/>
          <w:i w:val="0"/>
          <w:iCs w:val="0"/>
        </w:rPr>
        <w:t xml:space="preserve">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утвержденного постановлением Совета Министров Республики Беларусь от 17.02.2012г. №156 при представлении документов</w:t>
      </w:r>
      <w:r>
        <w:rPr>
          <w:rStyle w:val="CharStyle10"/>
          <w:i w:val="0"/>
          <w:iCs w:val="0"/>
        </w:rPr>
        <w:t xml:space="preserve">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оговоренных в пункте 48 Правил электроснабжения.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80"/>
      </w:pPr>
      <w:r>
        <w:rPr>
          <w:rStyle w:val="CharStyle11"/>
        </w:rPr>
        <w:t>43.</w:t>
      </w:r>
      <w:r>
        <w:rPr>
          <w:lang w:val="ru-RU" w:eastAsia="ru-RU" w:bidi="ru-RU"/>
          <w:w w:val="100"/>
          <w:spacing w:val="0"/>
          <w:color w:val="000000"/>
          <w:position w:val="0"/>
        </w:rPr>
        <w:t>Наличие на вводных и распределительных щитах исправных запирающих устройств для предотвращения случайного доступа людей к токоведущим частям. Нанести (обновить) необходимые знаки безопасности.</w:t>
      </w:r>
    </w:p>
    <w:p>
      <w:pPr>
        <w:pStyle w:val="Style5"/>
        <w:numPr>
          <w:ilvl w:val="0"/>
          <w:numId w:val="3"/>
        </w:numPr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Наличие у обслуживающего энергоустановки персонала инструмента и испытанных индивидуальных и коллективных защитных средств в соответствии с требованиями ТИПА.</w:t>
      </w:r>
    </w:p>
    <w:p>
      <w:pPr>
        <w:pStyle w:val="Style5"/>
        <w:numPr>
          <w:ilvl w:val="0"/>
          <w:numId w:val="3"/>
        </w:numPr>
        <w:tabs>
          <w:tab w:leader="none" w:pos="13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Содержание энергетического оборудования и сетей в работоспособном состоянии в соответствии с требованиями ТИПА.</w:t>
      </w:r>
    </w:p>
    <w:p>
      <w:pPr>
        <w:pStyle w:val="Style5"/>
        <w:numPr>
          <w:ilvl w:val="0"/>
          <w:numId w:val="3"/>
        </w:numPr>
        <w:tabs>
          <w:tab w:leader="none" w:pos="13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Своевременное проведение профилактических испытаний и электрофизических измерений в электроустановках.</w:t>
      </w:r>
    </w:p>
    <w:p>
      <w:pPr>
        <w:pStyle w:val="Style5"/>
        <w:numPr>
          <w:ilvl w:val="0"/>
          <w:numId w:val="3"/>
        </w:numPr>
        <w:tabs>
          <w:tab w:leader="none" w:pos="13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Своевременное и качественное проведение профилактических работ и ремонтов согласно графиков ПНР, модернизации и реконструкции энергетического оборудования.</w:t>
      </w:r>
    </w:p>
    <w:p>
      <w:pPr>
        <w:pStyle w:val="Style5"/>
        <w:numPr>
          <w:ilvl w:val="0"/>
          <w:numId w:val="3"/>
        </w:numPr>
        <w:tabs>
          <w:tab w:leader="none" w:pos="13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Надежность работы энергоустановок и безопасность их обслуживания.</w:t>
      </w:r>
    </w:p>
    <w:p>
      <w:pPr>
        <w:pStyle w:val="Style5"/>
        <w:numPr>
          <w:ilvl w:val="0"/>
          <w:numId w:val="3"/>
        </w:numPr>
        <w:tabs>
          <w:tab w:leader="none" w:pos="13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Учет и анализ случаев нарушений в работе энергоустановок и принятия достаточных мер по устранению причин их возникновения.</w:t>
      </w:r>
    </w:p>
    <w:p>
      <w:pPr>
        <w:pStyle w:val="Style5"/>
        <w:numPr>
          <w:ilvl w:val="0"/>
          <w:numId w:val="3"/>
        </w:numPr>
        <w:tabs>
          <w:tab w:leader="none" w:pos="140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 за работой подчиненного персонала и соблюдением им производственно-технологической дисциплины.</w:t>
      </w:r>
    </w:p>
    <w:p>
      <w:pPr>
        <w:pStyle w:val="Style5"/>
        <w:numPr>
          <w:ilvl w:val="0"/>
          <w:numId w:val="1"/>
        </w:numPr>
        <w:tabs>
          <w:tab w:leader="none" w:pos="114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 допускать производства работ в энергоустановках без обязательного выполнения всех организационных и технических мероприятий, обеспечивающих безопасность работ, в соответствии с требованиями ТИПА.</w:t>
      </w:r>
    </w:p>
    <w:p>
      <w:pPr>
        <w:pStyle w:val="Style5"/>
        <w:numPr>
          <w:ilvl w:val="0"/>
          <w:numId w:val="1"/>
        </w:numPr>
        <w:tabs>
          <w:tab w:leader="none" w:pos="114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Проводить с подчиненным персоналом периодические занятия по изучению методов освобождения и оказания доврачебной помощи пострадавшему от электрического тока.</w:t>
      </w:r>
    </w:p>
    <w:p>
      <w:pPr>
        <w:pStyle w:val="Style5"/>
        <w:numPr>
          <w:ilvl w:val="0"/>
          <w:numId w:val="1"/>
        </w:numPr>
        <w:tabs>
          <w:tab w:leader="none" w:pos="114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подключении электроустановок мобильных зданий из металла или с металлическим каркасом (киосков, вагон-домиков и т.п.) применять устройства защитного отключения. Рекомендуется оснащать электроустановки, электропроводки и токоприемники, введенные в эксплуатацию ранее, устройствами защитного отключения, если это направлено на обеспечение требований безопасности.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Информацию о проделанной работе представить в территориальные органы филиала Госэнергогазнадзора по Могилевской области по месту их</w:t>
      </w:r>
    </w:p>
    <w:p>
      <w:pPr>
        <w:framePr w:h="2394" w:wrap="notBeside" w:vAnchor="text" w:hAnchor="text" w:y="1"/>
        <w:widowControl w:val="0"/>
        <w:jc w:val="left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39pt;height:120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type w:val="continuous"/>
      <w:pgSz w:w="11900" w:h="16840"/>
      <w:pgMar w:top="1156" w:left="1676" w:right="793" w:bottom="26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4"/>
      <w:numFmt w:val="decimal"/>
      <w:lvlText w:val="4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3B98D3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7">
    <w:name w:val="Основной текст (3) + Интервал 3 pt"/>
    <w:basedOn w:val="CharStyle4"/>
    <w:rPr>
      <w:lang w:val="ru-RU" w:eastAsia="ru-RU" w:bidi="ru-RU"/>
      <w:w w:val="100"/>
      <w:spacing w:val="60"/>
      <w:color w:val="000000"/>
      <w:position w:val="0"/>
    </w:rPr>
  </w:style>
  <w:style w:type="character" w:customStyle="1" w:styleId="CharStyle9">
    <w:name w:val="Основной текст (4)_"/>
    <w:basedOn w:val="DefaultParagraphFont"/>
    <w:link w:val="Style8"/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0">
    <w:name w:val="Основной текст (4) + Не курсив"/>
    <w:basedOn w:val="CharStyle9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11">
    <w:name w:val="Основной текст (2) + Курсив"/>
    <w:basedOn w:val="CharStyle6"/>
    <w:rPr>
      <w:lang w:val="ru-RU" w:eastAsia="ru-RU" w:bidi="ru-RU"/>
      <w:i/>
      <w:iCs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after="780" w:line="324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both"/>
      <w:spacing w:before="780" w:line="32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8">
    <w:name w:val="Основной текст (4)"/>
    <w:basedOn w:val="Normal"/>
    <w:link w:val="CharStyle9"/>
    <w:pPr>
      <w:widowControl w:val="0"/>
      <w:shd w:val="clear" w:color="auto" w:fill="FFFFFF"/>
      <w:jc w:val="both"/>
      <w:spacing w:line="320" w:lineRule="exact"/>
    </w:pPr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