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01" w:rsidRPr="00D16B01" w:rsidRDefault="00D16B01" w:rsidP="00D16B01">
      <w:pPr>
        <w:spacing w:before="100" w:beforeAutospacing="1" w:after="100" w:afterAutospacing="1"/>
        <w:ind w:firstLine="0"/>
        <w:outlineLvl w:val="1"/>
        <w:rPr>
          <w:b/>
          <w:bCs/>
          <w:sz w:val="36"/>
          <w:szCs w:val="36"/>
        </w:rPr>
      </w:pPr>
      <w:r w:rsidRPr="00D16B01">
        <w:rPr>
          <w:b/>
          <w:bCs/>
          <w:sz w:val="36"/>
          <w:szCs w:val="36"/>
        </w:rPr>
        <w:t xml:space="preserve">Вступило в силу Соглашение о пенсионном обеспечении трудящихся государств – членов Евразийского экономического союза </w:t>
      </w:r>
    </w:p>
    <w:p w:rsidR="00D16B01" w:rsidRPr="00D16B01" w:rsidRDefault="00D16B01" w:rsidP="00D16B01">
      <w:pPr>
        <w:ind w:firstLine="0"/>
      </w:pPr>
      <w:bookmarkStart w:id="0" w:name="_GoBack"/>
      <w:bookmarkEnd w:id="0"/>
      <w:r w:rsidRPr="00D16B01">
        <w:rPr>
          <w:b/>
          <w:bCs/>
        </w:rPr>
        <w:t xml:space="preserve">1 января 2021 г. </w:t>
      </w:r>
      <w:r w:rsidRPr="00D16B01">
        <w:t xml:space="preserve">вступило в силу </w:t>
      </w:r>
      <w:r w:rsidRPr="00D16B01">
        <w:rPr>
          <w:b/>
          <w:bCs/>
        </w:rPr>
        <w:t>Соглашение о пенсионном обеспечении трудящихся государств – членов Евразийского экономического союза</w:t>
      </w:r>
      <w:r w:rsidRPr="00D16B01">
        <w:t xml:space="preserve"> от 20 декабря 2019 года.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Соглашение подписано и ратифицировано государствами – членами Евразийского экономического союза (ЕАЭС): </w:t>
      </w:r>
    </w:p>
    <w:p w:rsidR="00D16B01" w:rsidRPr="00D16B01" w:rsidRDefault="00D16B01" w:rsidP="00D16B01">
      <w:pPr>
        <w:ind w:firstLine="0"/>
      </w:pPr>
      <w:r w:rsidRPr="00D16B01">
        <w:t xml:space="preserve">Республикой Беларусь, Республикой Армения, Республикой Казахстан, Кыргызской Республикой и Российской Федерацией.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>Соглашение распространяется на</w:t>
      </w:r>
      <w:r w:rsidRPr="00D16B01">
        <w:rPr>
          <w:b/>
          <w:bCs/>
        </w:rPr>
        <w:t xml:space="preserve"> граждан государств-членов ЕАЭС, проживающих и имеющих стаж на </w:t>
      </w:r>
      <w:proofErr w:type="gramStart"/>
      <w:r w:rsidRPr="00D16B01">
        <w:rPr>
          <w:b/>
          <w:bCs/>
        </w:rPr>
        <w:t>территориях</w:t>
      </w:r>
      <w:proofErr w:type="gramEnd"/>
      <w:r w:rsidRPr="00D16B01">
        <w:t xml:space="preserve"> указанных государств, приобретенный </w:t>
      </w:r>
      <w:r w:rsidRPr="00D16B01">
        <w:rPr>
          <w:b/>
          <w:bCs/>
        </w:rPr>
        <w:t>после вступления в силу Соглашения, т.е. после 1 января 2021 г.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</w:tblGrid>
      <w:tr w:rsidR="00D16B01" w:rsidRPr="00D16B01" w:rsidTr="00D16B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01" w:rsidRPr="00D16B01" w:rsidRDefault="00D16B01" w:rsidP="00D16B01">
            <w:pPr>
              <w:ind w:firstLine="0"/>
            </w:pPr>
            <w:r w:rsidRPr="00D16B01">
              <w:rPr>
                <w:b/>
                <w:bCs/>
              </w:rPr>
              <w:t>Предмет правового регулирования Соглашения</w:t>
            </w:r>
          </w:p>
        </w:tc>
      </w:tr>
    </w:tbl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Предметом правового регулирования Соглашения являются вопросы: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• </w:t>
      </w:r>
      <w:r w:rsidRPr="00D16B01">
        <w:rPr>
          <w:b/>
          <w:bCs/>
        </w:rPr>
        <w:t xml:space="preserve">уплаты пенсионных взносов </w:t>
      </w: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• назначения и выплаты: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  <w:u w:val="single"/>
        </w:rPr>
        <w:t>в Республике Беларусь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трудовой пенсии</w:t>
      </w:r>
      <w:r w:rsidRPr="00D16B01">
        <w:t xml:space="preserve"> (по возрасту, за выслугу лет (кроме пенсий военнослужащих, приравненных к ним лиц, членов их семей и государственных служащих), по инвалидности, по случаю потери кормильца);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  <w:u w:val="single"/>
        </w:rPr>
        <w:t>в Республике Армения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трудовой пенсии</w:t>
      </w:r>
      <w:r w:rsidRPr="00D16B01">
        <w:t xml:space="preserve"> (по возрасту, на льготных условиях, за выслугу лет, по инвалидности, по случаю потери кормильца, частичной)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обязательной накопительной пенсии</w:t>
      </w:r>
      <w:r w:rsidRPr="00D16B01">
        <w:t xml:space="preserve"> (аннуитет, программная выплата, единовременная выплата, единовременная выплата наследникам)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  <w:u w:val="single"/>
        </w:rPr>
        <w:t>в Республике Казахстан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пенсионных выплат из единого накопительного пенсионного фонда за счет сформированных пенсионных взносов</w:t>
      </w:r>
      <w:r w:rsidRPr="00D16B01">
        <w:t xml:space="preserve"> (по достижении пенсионного возраста, при установлении инвалидности первой и второй групп, если инвалидность установлена бессрочно, единовременная выплата наследникам)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  <w:u w:val="single"/>
        </w:rPr>
        <w:t>в Кыргызской Республике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пенсии по государственному социальному страхованию</w:t>
      </w:r>
      <w:r w:rsidRPr="00D16B01">
        <w:t xml:space="preserve"> (по возрасту, по инвалидности, по случаю потери кормильца);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lastRenderedPageBreak/>
        <w:t xml:space="preserve">накопительной части пенсии </w:t>
      </w:r>
      <w:r w:rsidRPr="00D16B01">
        <w:t xml:space="preserve">из средств государственного накопительного пенсионного фонда;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 xml:space="preserve">выплат за счет средств пенсионных накоплений </w:t>
      </w:r>
      <w:r w:rsidRPr="00D16B01">
        <w:t xml:space="preserve">из средств государственного накопительного пенсионного фонда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  <w:u w:val="single"/>
        </w:rPr>
        <w:t>в Российской Федерации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страховой пенсии</w:t>
      </w:r>
      <w:r w:rsidRPr="00D16B01">
        <w:t xml:space="preserve"> (по старости, по инвалидности, по случаю потери кормильца)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фиксированной выплаты к страховой пенсии, повышения и (или) увеличения фиксированной выплаты к страховой пенсии и доплаты к страховой пенсии;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накопительной пенсии и иных выплат за счет средств пенсионных накоплений.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</w:tblGrid>
      <w:tr w:rsidR="00D16B01" w:rsidRPr="00D16B01" w:rsidTr="00D16B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01" w:rsidRPr="00D16B01" w:rsidRDefault="00D16B01" w:rsidP="00D16B01">
            <w:pPr>
              <w:ind w:firstLine="0"/>
            </w:pPr>
            <w:r w:rsidRPr="00D16B01">
              <w:rPr>
                <w:b/>
                <w:bCs/>
              </w:rPr>
              <w:t xml:space="preserve">Уплата пенсионных взносов </w:t>
            </w:r>
          </w:p>
        </w:tc>
      </w:tr>
    </w:tbl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Согласно Соглашению </w:t>
      </w:r>
      <w:r w:rsidRPr="00D16B01">
        <w:rPr>
          <w:b/>
          <w:bCs/>
        </w:rPr>
        <w:t>уплата пенсионных взносов</w:t>
      </w:r>
      <w:r w:rsidRPr="00D16B01">
        <w:t xml:space="preserve"> будет производиться в соответствии с законодательством государства, на территории которого граждане выполняют работу, независимо от их места проживания. </w:t>
      </w:r>
    </w:p>
    <w:p w:rsidR="00D16B01" w:rsidRPr="00D16B01" w:rsidRDefault="00D16B01" w:rsidP="00D16B01">
      <w:pPr>
        <w:ind w:firstLine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3"/>
      </w:tblGrid>
      <w:tr w:rsidR="00D16B01" w:rsidRPr="00D16B01" w:rsidTr="00D16B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01" w:rsidRPr="00D16B01" w:rsidRDefault="00D16B01" w:rsidP="00D16B01">
            <w:pPr>
              <w:ind w:firstLine="0"/>
            </w:pPr>
            <w:r w:rsidRPr="00D16B01">
              <w:rPr>
                <w:b/>
                <w:bCs/>
              </w:rPr>
              <w:t xml:space="preserve">Принцип пропорциональности пенсионного обеспечения </w:t>
            </w:r>
          </w:p>
        </w:tc>
      </w:tr>
    </w:tbl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Пенсионное обеспечение</w:t>
      </w:r>
      <w:r w:rsidRPr="00D16B01">
        <w:t xml:space="preserve"> предусматривается с учетом </w:t>
      </w:r>
      <w:r w:rsidRPr="00D16B01">
        <w:rPr>
          <w:b/>
          <w:bCs/>
        </w:rPr>
        <w:t>принципа пропорциональности.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Каждое государство-участник Соглашения будет назначать </w:t>
      </w:r>
      <w:proofErr w:type="gramStart"/>
      <w:r w:rsidRPr="00D16B01">
        <w:t>пенсию</w:t>
      </w:r>
      <w:proofErr w:type="gramEnd"/>
      <w:r w:rsidRPr="00D16B01">
        <w:t xml:space="preserve"> и исчислять её размер за стаж на его территории </w:t>
      </w:r>
      <w:r w:rsidRPr="00D16B01">
        <w:rPr>
          <w:b/>
          <w:bCs/>
        </w:rPr>
        <w:t>после вступления в силу Соглашения, т.е. после 1 января 2021 г.</w:t>
      </w:r>
      <w:r w:rsidRPr="00D16B01">
        <w:t xml:space="preserve"> При этом для назначения пенсии (за исключением трудовых (страховых) пенсий по инвалидности и по случаю потери кормильца, накопительной пенсии) стаж на территории государства-участника Соглашения должен составлять </w:t>
      </w:r>
      <w:r w:rsidRPr="00D16B01">
        <w:rPr>
          <w:b/>
          <w:bCs/>
        </w:rPr>
        <w:t xml:space="preserve">не менее 12 полных месяцев.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>За стаж</w:t>
      </w:r>
      <w:r w:rsidRPr="00D16B01">
        <w:rPr>
          <w:b/>
          <w:bCs/>
        </w:rPr>
        <w:t xml:space="preserve"> до вступления в силу Соглашения</w:t>
      </w:r>
      <w:r w:rsidRPr="00D16B01">
        <w:t xml:space="preserve"> (до 1 января 2021 г.) пенсия будет </w:t>
      </w:r>
      <w:proofErr w:type="gramStart"/>
      <w:r w:rsidRPr="00D16B01">
        <w:t>назначаться</w:t>
      </w:r>
      <w:proofErr w:type="gramEnd"/>
      <w:r w:rsidRPr="00D16B01">
        <w:t xml:space="preserve"> и выплачиваться в соответствии с законодательством государства-участника Соглашения </w:t>
      </w:r>
      <w:r w:rsidRPr="00D16B01">
        <w:rPr>
          <w:b/>
          <w:bCs/>
        </w:rPr>
        <w:t>с учетом</w:t>
      </w:r>
      <w:r w:rsidRPr="00D16B01">
        <w:t xml:space="preserve"> Соглашения о гарантиях прав граждан государств – участников Содружества Независимых Государств в области пенсионного обеспечения от 13 марта 1992 года, а для Республики Беларусь и Российской Федерации – с учетом Договора между Республикой Беларусь и Российской Федерацией о сотрудничестве в области социального обеспечения от 24 января 2006 года.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Если стажа на территории одного государства-участника Соглашения будет недостаточно для определения права на пенсию, то может быть учтен также </w:t>
      </w:r>
      <w:r w:rsidRPr="00D16B01">
        <w:rPr>
          <w:b/>
          <w:bCs/>
        </w:rPr>
        <w:t>стаж, приобретенный на территории других государств-участников</w:t>
      </w:r>
      <w:r w:rsidRPr="00D16B01">
        <w:t xml:space="preserve"> Соглашения. Подтверждение такого стажа производится компетентными органами этих государств. </w:t>
      </w:r>
    </w:p>
    <w:p w:rsidR="00D16B01" w:rsidRPr="00D16B01" w:rsidRDefault="00D16B01" w:rsidP="00D16B01">
      <w:pPr>
        <w:ind w:firstLine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</w:tblGrid>
      <w:tr w:rsidR="00D16B01" w:rsidRPr="00D16B01" w:rsidTr="00D16B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01" w:rsidRPr="00D16B01" w:rsidRDefault="00D16B01" w:rsidP="00D16B01">
            <w:pPr>
              <w:ind w:firstLine="0"/>
            </w:pPr>
            <w:r w:rsidRPr="00D16B01">
              <w:rPr>
                <w:b/>
                <w:bCs/>
              </w:rPr>
              <w:t>Куда обращаться за назначением пенсии</w:t>
            </w:r>
          </w:p>
        </w:tc>
      </w:tr>
    </w:tbl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Обращение за назначением пенсии</w:t>
      </w:r>
      <w:r w:rsidRPr="00D16B01">
        <w:t xml:space="preserve"> по Соглашению может осуществляться </w:t>
      </w:r>
      <w:r w:rsidRPr="00D16B01">
        <w:rPr>
          <w:b/>
          <w:bCs/>
        </w:rPr>
        <w:t xml:space="preserve">по выбору гражданина </w:t>
      </w:r>
      <w:r w:rsidRPr="00D16B01">
        <w:t xml:space="preserve">в компетентный орган государства проживания и (или) в компетентный орган государства, на территории которого приобретен стаж.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По вопросам пенсионного обеспечения с учетом положений Соглашения </w:t>
      </w:r>
      <w:r w:rsidRPr="00D16B01">
        <w:rPr>
          <w:b/>
          <w:bCs/>
        </w:rPr>
        <w:t>гражданам, постоянно проживающим в Республике Беларусь, необходимо обращаться в орган по труду, занятости и социальной защите по месту жительства в Беларуси.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</w:tblGrid>
      <w:tr w:rsidR="00D16B01" w:rsidRPr="00D16B01" w:rsidTr="00D16B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B01" w:rsidRPr="00D16B01" w:rsidRDefault="00D16B01" w:rsidP="00D16B01">
            <w:pPr>
              <w:ind w:firstLine="0"/>
            </w:pPr>
            <w:r w:rsidRPr="00D16B01">
              <w:rPr>
                <w:b/>
                <w:bCs/>
              </w:rPr>
              <w:t xml:space="preserve">Где будет осуществляться выплата пенсии </w:t>
            </w:r>
          </w:p>
        </w:tc>
      </w:tr>
    </w:tbl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rPr>
          <w:b/>
          <w:bCs/>
        </w:rPr>
        <w:t>Выплата пенсии,</w:t>
      </w:r>
      <w:r w:rsidRPr="00D16B01">
        <w:t xml:space="preserve"> назначенной по Соглашению, может осуществляться </w:t>
      </w:r>
      <w:r w:rsidRPr="00D16B01">
        <w:rPr>
          <w:b/>
          <w:bCs/>
        </w:rPr>
        <w:t>по выбору гражданина</w:t>
      </w:r>
      <w:r w:rsidRPr="00D16B01">
        <w:t xml:space="preserve">: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• на территории государства проживания </w:t>
      </w:r>
    </w:p>
    <w:p w:rsidR="00D16B01" w:rsidRPr="00D16B01" w:rsidRDefault="00D16B01" w:rsidP="00D16B01">
      <w:pPr>
        <w:ind w:firstLine="0"/>
      </w:pPr>
      <w:r w:rsidRPr="00D16B01">
        <w:t xml:space="preserve">• на территории государства-участника Соглашения, назначившего пенсию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Перевод пенсии </w:t>
      </w:r>
      <w:r w:rsidRPr="00D16B01">
        <w:rPr>
          <w:b/>
          <w:bCs/>
        </w:rPr>
        <w:t>за предшествующий квартал</w:t>
      </w:r>
      <w:r w:rsidRPr="00D16B01">
        <w:t xml:space="preserve"> компетентным органом государства-участника Соглашения, назначившим пенсию, на территорию государства проживания пенсионера будет осуществляться </w:t>
      </w:r>
      <w:r w:rsidRPr="00D16B01">
        <w:rPr>
          <w:b/>
          <w:bCs/>
        </w:rPr>
        <w:t xml:space="preserve">до 15 числа первого месяца каждого квартала в денежной валюте государства проживания.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Доставка пенсии пенсионеру будет осуществляться после указанной даты компетентным органом государства, на территорию которого осуществлен перевод пенсии.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 xml:space="preserve">В Республике Беларусь </w:t>
      </w:r>
      <w:r w:rsidRPr="00D16B01">
        <w:rPr>
          <w:b/>
          <w:bCs/>
        </w:rPr>
        <w:t>пенсия будет доставляться</w:t>
      </w:r>
      <w:r w:rsidRPr="00D16B01">
        <w:t xml:space="preserve"> путем </w:t>
      </w:r>
      <w:r w:rsidRPr="00D16B01">
        <w:rPr>
          <w:b/>
          <w:bCs/>
        </w:rPr>
        <w:t>перечисления на счет пенсионера, открытый в банке.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D16B01" w:rsidRPr="00D16B01" w:rsidRDefault="00D16B01" w:rsidP="00D16B01">
      <w:pPr>
        <w:ind w:firstLine="0"/>
      </w:pPr>
      <w:r w:rsidRPr="00D16B01">
        <w:t>Сп</w:t>
      </w:r>
      <w:r w:rsidRPr="00D16B01">
        <w:rPr>
          <w:i/>
          <w:iCs/>
        </w:rPr>
        <w:t xml:space="preserve">равочно: </w:t>
      </w:r>
      <w:proofErr w:type="gramStart"/>
      <w:r w:rsidRPr="00D16B01">
        <w:rPr>
          <w:i/>
          <w:iCs/>
        </w:rPr>
        <w:t>Республикой Беларусь заключены д</w:t>
      </w:r>
      <w:r w:rsidRPr="00D16B01">
        <w:rPr>
          <w:b/>
          <w:bCs/>
          <w:i/>
          <w:iCs/>
        </w:rPr>
        <w:t>оговоры (соглашения) в области социального (пенсионного) обеспечения</w:t>
      </w:r>
      <w:r w:rsidRPr="00D16B01">
        <w:rPr>
          <w:i/>
          <w:iCs/>
        </w:rPr>
        <w:t xml:space="preserve"> в рамках СНГ (в 1992 году), с Украиной (1995 году), Литовской Республикой (в 1999 году), Российской Федерацией (в 2006 году), Латвийской Республикой (в 2008 году), Азербайджанской Республикой (в 2013 году), Чешской Республикой и Эстонской Республикой (в 2018 году), Республикой Молдова (в 2019 году).</w:t>
      </w:r>
      <w:proofErr w:type="gramEnd"/>
      <w:r w:rsidRPr="00D16B01">
        <w:rPr>
          <w:i/>
          <w:iCs/>
        </w:rPr>
        <w:t xml:space="preserve"> В 2019 году подписан договор с Республикой Польшей, который пока не вступил в силу. Ведется работа по заключению договора с Республикой Болгария.</w:t>
      </w:r>
      <w:r w:rsidRPr="00D16B01">
        <w:t xml:space="preserve"> </w:t>
      </w:r>
    </w:p>
    <w:p w:rsidR="00D16B01" w:rsidRPr="00D16B01" w:rsidRDefault="00D16B01" w:rsidP="00D16B01">
      <w:pPr>
        <w:ind w:firstLine="0"/>
      </w:pPr>
    </w:p>
    <w:p w:rsidR="006979D7" w:rsidRDefault="006979D7"/>
    <w:sectPr w:rsidR="0069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1"/>
    <w:rsid w:val="000A2ED7"/>
    <w:rsid w:val="00523AA3"/>
    <w:rsid w:val="006979D7"/>
    <w:rsid w:val="00D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6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A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523AA3"/>
    <w:pPr>
      <w:keepNext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3AA3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523AA3"/>
    <w:rPr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6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Вступило в силу Соглашение о пенсионном обеспечении трудящихся государств – член</vt:lpstr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Зигмундовна</dc:creator>
  <cp:lastModifiedBy>Васильева Наталья Зигмундовна</cp:lastModifiedBy>
  <cp:revision>1</cp:revision>
  <cp:lastPrinted>2021-01-15T11:23:00Z</cp:lastPrinted>
  <dcterms:created xsi:type="dcterms:W3CDTF">2021-01-15T11:22:00Z</dcterms:created>
  <dcterms:modified xsi:type="dcterms:W3CDTF">2021-01-15T11:24:00Z</dcterms:modified>
</cp:coreProperties>
</file>